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03D4" w:rsidRPr="009B6B5D" w:rsidRDefault="006C03D4" w:rsidP="006C03D4">
      <w:pPr>
        <w:spacing w:after="200" w:line="480" w:lineRule="auto"/>
        <w:jc w:val="center"/>
        <w:rPr>
          <w:rFonts w:ascii="Times New Roman" w:eastAsia="Calibri" w:hAnsi="Times New Roman" w:cs="Times New Roman"/>
          <w:sz w:val="24"/>
          <w:szCs w:val="24"/>
        </w:rPr>
      </w:pPr>
    </w:p>
    <w:p w:rsidR="006C03D4" w:rsidRPr="009B6B5D" w:rsidRDefault="006C03D4" w:rsidP="006C03D4">
      <w:pPr>
        <w:spacing w:after="200" w:line="480" w:lineRule="auto"/>
        <w:jc w:val="center"/>
        <w:rPr>
          <w:rFonts w:ascii="Times New Roman" w:eastAsia="Calibri" w:hAnsi="Times New Roman" w:cs="Times New Roman"/>
          <w:sz w:val="24"/>
          <w:szCs w:val="24"/>
        </w:rPr>
      </w:pPr>
    </w:p>
    <w:p w:rsidR="006C03D4" w:rsidRPr="009B6B5D" w:rsidRDefault="006C03D4" w:rsidP="006C03D4">
      <w:pPr>
        <w:tabs>
          <w:tab w:val="left" w:pos="7695"/>
        </w:tabs>
        <w:spacing w:after="200" w:line="480" w:lineRule="auto"/>
        <w:rPr>
          <w:rFonts w:ascii="Times New Roman" w:eastAsia="Calibri" w:hAnsi="Times New Roman" w:cs="Times New Roman"/>
          <w:sz w:val="24"/>
          <w:szCs w:val="24"/>
        </w:rPr>
      </w:pPr>
      <w:r w:rsidRPr="009B6B5D">
        <w:rPr>
          <w:rFonts w:ascii="Times New Roman" w:eastAsia="Calibri" w:hAnsi="Times New Roman" w:cs="Times New Roman"/>
          <w:sz w:val="24"/>
          <w:szCs w:val="24"/>
        </w:rPr>
        <w:tab/>
      </w:r>
    </w:p>
    <w:p w:rsidR="006C03D4" w:rsidRPr="009B6B5D" w:rsidRDefault="006C03D4" w:rsidP="006C03D4">
      <w:pPr>
        <w:spacing w:after="200" w:line="480" w:lineRule="auto"/>
        <w:jc w:val="center"/>
        <w:rPr>
          <w:rFonts w:ascii="Times New Roman" w:eastAsia="Calibri" w:hAnsi="Times New Roman" w:cs="Times New Roman"/>
          <w:sz w:val="24"/>
          <w:szCs w:val="24"/>
        </w:rPr>
      </w:pPr>
    </w:p>
    <w:p w:rsidR="006C03D4" w:rsidRPr="009B6B5D" w:rsidRDefault="006C03D4" w:rsidP="006C03D4">
      <w:pPr>
        <w:spacing w:after="200" w:line="480" w:lineRule="auto"/>
        <w:jc w:val="center"/>
        <w:rPr>
          <w:rFonts w:ascii="Times New Roman" w:eastAsia="Calibri" w:hAnsi="Times New Roman" w:cs="Times New Roman"/>
          <w:sz w:val="24"/>
          <w:szCs w:val="24"/>
        </w:rPr>
      </w:pPr>
    </w:p>
    <w:p w:rsidR="006C03D4" w:rsidRPr="009B6B5D" w:rsidRDefault="006C03D4" w:rsidP="006C03D4">
      <w:pPr>
        <w:spacing w:after="200" w:line="480" w:lineRule="auto"/>
        <w:jc w:val="center"/>
        <w:rPr>
          <w:rFonts w:ascii="Times New Roman" w:eastAsia="Calibri" w:hAnsi="Times New Roman" w:cs="Times New Roman"/>
          <w:sz w:val="24"/>
          <w:szCs w:val="24"/>
        </w:rPr>
      </w:pPr>
    </w:p>
    <w:p w:rsidR="006C03D4" w:rsidRPr="009B6B5D" w:rsidRDefault="006C03D4" w:rsidP="006C03D4">
      <w:pPr>
        <w:spacing w:after="200" w:line="480" w:lineRule="auto"/>
        <w:jc w:val="center"/>
        <w:rPr>
          <w:rFonts w:ascii="Times New Roman" w:eastAsia="Calibri" w:hAnsi="Times New Roman" w:cs="Times New Roman"/>
          <w:sz w:val="24"/>
          <w:szCs w:val="24"/>
        </w:rPr>
      </w:pPr>
    </w:p>
    <w:p w:rsidR="006C03D4" w:rsidRPr="009B6B5D" w:rsidRDefault="006C03D4" w:rsidP="006C03D4">
      <w:pPr>
        <w:spacing w:before="240" w:after="200" w:line="480" w:lineRule="auto"/>
        <w:jc w:val="center"/>
        <w:rPr>
          <w:rFonts w:ascii="Times New Roman" w:eastAsia="Calibri" w:hAnsi="Times New Roman" w:cs="Times New Roman"/>
          <w:sz w:val="24"/>
          <w:szCs w:val="24"/>
        </w:rPr>
      </w:pPr>
      <w:r w:rsidRPr="009B6B5D">
        <w:rPr>
          <w:rFonts w:ascii="Times New Roman" w:eastAsia="Calibri" w:hAnsi="Times New Roman" w:cs="Times New Roman"/>
          <w:sz w:val="24"/>
          <w:szCs w:val="24"/>
        </w:rPr>
        <w:t>Giordano</w:t>
      </w:r>
    </w:p>
    <w:p w:rsidR="006C03D4" w:rsidRPr="009B6B5D" w:rsidRDefault="006C03D4" w:rsidP="006C03D4">
      <w:pPr>
        <w:spacing w:before="240" w:after="200" w:line="480" w:lineRule="auto"/>
        <w:jc w:val="center"/>
        <w:rPr>
          <w:rFonts w:ascii="Times New Roman" w:eastAsia="Calibri" w:hAnsi="Times New Roman" w:cs="Times New Roman"/>
          <w:sz w:val="24"/>
          <w:szCs w:val="24"/>
        </w:rPr>
      </w:pPr>
      <w:r w:rsidRPr="009B6B5D">
        <w:rPr>
          <w:rFonts w:ascii="Times New Roman" w:eastAsia="Calibri" w:hAnsi="Times New Roman" w:cs="Times New Roman"/>
          <w:sz w:val="24"/>
          <w:szCs w:val="24"/>
        </w:rPr>
        <w:t>Student’s Name</w:t>
      </w:r>
    </w:p>
    <w:p w:rsidR="006C03D4" w:rsidRPr="009B6B5D" w:rsidRDefault="006C03D4" w:rsidP="006C03D4">
      <w:pPr>
        <w:spacing w:before="240" w:after="200" w:line="480" w:lineRule="auto"/>
        <w:jc w:val="center"/>
        <w:rPr>
          <w:rFonts w:ascii="Times New Roman" w:eastAsia="Calibri" w:hAnsi="Times New Roman" w:cs="Times New Roman"/>
          <w:sz w:val="24"/>
          <w:szCs w:val="24"/>
        </w:rPr>
      </w:pPr>
      <w:r w:rsidRPr="009B6B5D">
        <w:rPr>
          <w:rFonts w:ascii="Times New Roman" w:eastAsia="Calibri" w:hAnsi="Times New Roman" w:cs="Times New Roman"/>
          <w:sz w:val="24"/>
          <w:szCs w:val="24"/>
        </w:rPr>
        <w:t xml:space="preserve">Institutional Affiliation </w:t>
      </w:r>
    </w:p>
    <w:p w:rsidR="006C03D4" w:rsidRPr="009B6B5D" w:rsidRDefault="006C03D4" w:rsidP="006C03D4">
      <w:pPr>
        <w:spacing w:after="200" w:line="480" w:lineRule="auto"/>
        <w:jc w:val="center"/>
        <w:rPr>
          <w:rFonts w:ascii="Times New Roman" w:eastAsia="Calibri" w:hAnsi="Times New Roman" w:cs="Times New Roman"/>
          <w:sz w:val="24"/>
          <w:szCs w:val="24"/>
        </w:rPr>
      </w:pPr>
    </w:p>
    <w:p w:rsidR="006C03D4" w:rsidRPr="009B6B5D" w:rsidRDefault="006C03D4" w:rsidP="006C03D4">
      <w:pPr>
        <w:spacing w:after="200" w:line="480" w:lineRule="auto"/>
        <w:jc w:val="center"/>
        <w:rPr>
          <w:rFonts w:ascii="Times New Roman" w:eastAsia="Calibri" w:hAnsi="Times New Roman" w:cs="Times New Roman"/>
          <w:sz w:val="24"/>
          <w:szCs w:val="24"/>
        </w:rPr>
      </w:pPr>
    </w:p>
    <w:p w:rsidR="006C03D4" w:rsidRPr="009B6B5D" w:rsidRDefault="006C03D4" w:rsidP="006C03D4">
      <w:pPr>
        <w:spacing w:after="200" w:line="480" w:lineRule="auto"/>
        <w:jc w:val="center"/>
        <w:rPr>
          <w:rFonts w:ascii="Times New Roman" w:eastAsia="Calibri" w:hAnsi="Times New Roman" w:cs="Times New Roman"/>
          <w:sz w:val="24"/>
          <w:szCs w:val="24"/>
        </w:rPr>
      </w:pPr>
    </w:p>
    <w:p w:rsidR="006C03D4" w:rsidRPr="009B6B5D" w:rsidRDefault="006C03D4" w:rsidP="006C03D4">
      <w:pPr>
        <w:spacing w:after="200" w:line="480" w:lineRule="auto"/>
        <w:jc w:val="center"/>
        <w:rPr>
          <w:rFonts w:ascii="Times New Roman" w:eastAsia="Calibri" w:hAnsi="Times New Roman" w:cs="Times New Roman"/>
          <w:sz w:val="24"/>
          <w:szCs w:val="24"/>
        </w:rPr>
      </w:pPr>
    </w:p>
    <w:p w:rsidR="006C03D4" w:rsidRPr="009B6B5D" w:rsidRDefault="006C03D4" w:rsidP="006C03D4">
      <w:pPr>
        <w:spacing w:after="200" w:line="480" w:lineRule="auto"/>
        <w:jc w:val="center"/>
        <w:rPr>
          <w:rFonts w:ascii="Times New Roman" w:eastAsia="Calibri" w:hAnsi="Times New Roman" w:cs="Times New Roman"/>
          <w:sz w:val="24"/>
          <w:szCs w:val="24"/>
        </w:rPr>
      </w:pPr>
    </w:p>
    <w:p w:rsidR="006C03D4" w:rsidRPr="009B6B5D" w:rsidRDefault="006C03D4" w:rsidP="006C03D4">
      <w:pPr>
        <w:spacing w:after="200" w:line="480" w:lineRule="auto"/>
        <w:jc w:val="center"/>
        <w:rPr>
          <w:rFonts w:ascii="Times New Roman" w:eastAsia="Calibri" w:hAnsi="Times New Roman" w:cs="Times New Roman"/>
          <w:sz w:val="24"/>
          <w:szCs w:val="24"/>
        </w:rPr>
      </w:pPr>
    </w:p>
    <w:p w:rsidR="006C03D4" w:rsidRPr="009B6B5D" w:rsidRDefault="006C03D4" w:rsidP="006C03D4">
      <w:pPr>
        <w:spacing w:line="480" w:lineRule="auto"/>
        <w:rPr>
          <w:rFonts w:ascii="Times New Roman" w:hAnsi="Times New Roman" w:cs="Times New Roman"/>
          <w:b/>
          <w:sz w:val="24"/>
          <w:szCs w:val="24"/>
        </w:rPr>
      </w:pPr>
      <w:r w:rsidRPr="009B6B5D">
        <w:rPr>
          <w:rFonts w:ascii="Times New Roman" w:hAnsi="Times New Roman" w:cs="Times New Roman"/>
          <w:b/>
          <w:sz w:val="24"/>
          <w:szCs w:val="24"/>
        </w:rPr>
        <w:br w:type="page"/>
      </w:r>
    </w:p>
    <w:sdt>
      <w:sdtPr>
        <w:rPr>
          <w:rFonts w:ascii="Times New Roman" w:eastAsiaTheme="minorHAnsi" w:hAnsi="Times New Roman" w:cs="Times New Roman"/>
          <w:color w:val="auto"/>
          <w:sz w:val="24"/>
          <w:szCs w:val="24"/>
        </w:rPr>
        <w:id w:val="-548840525"/>
        <w:docPartObj>
          <w:docPartGallery w:val="Table of Contents"/>
          <w:docPartUnique/>
        </w:docPartObj>
      </w:sdtPr>
      <w:sdtEndPr>
        <w:rPr>
          <w:b/>
          <w:bCs/>
          <w:noProof/>
        </w:rPr>
      </w:sdtEndPr>
      <w:sdtContent>
        <w:p w:rsidR="009952EF" w:rsidRPr="009B6B5D" w:rsidRDefault="009952EF">
          <w:pPr>
            <w:pStyle w:val="TOCHeading"/>
            <w:rPr>
              <w:rFonts w:ascii="Times New Roman" w:hAnsi="Times New Roman" w:cs="Times New Roman"/>
              <w:color w:val="auto"/>
              <w:sz w:val="24"/>
              <w:szCs w:val="24"/>
            </w:rPr>
          </w:pPr>
          <w:r w:rsidRPr="009B6B5D">
            <w:rPr>
              <w:rFonts w:ascii="Times New Roman" w:hAnsi="Times New Roman" w:cs="Times New Roman"/>
              <w:color w:val="auto"/>
              <w:sz w:val="24"/>
              <w:szCs w:val="24"/>
            </w:rPr>
            <w:t>Table of Contents</w:t>
          </w:r>
        </w:p>
        <w:p w:rsidR="009B6B5D" w:rsidRPr="009B6B5D" w:rsidRDefault="009952EF">
          <w:pPr>
            <w:pStyle w:val="TOC1"/>
            <w:tabs>
              <w:tab w:val="right" w:leader="dot" w:pos="9350"/>
            </w:tabs>
            <w:rPr>
              <w:rFonts w:eastAsiaTheme="minorEastAsia"/>
              <w:noProof/>
            </w:rPr>
          </w:pPr>
          <w:r w:rsidRPr="009B6B5D">
            <w:rPr>
              <w:rFonts w:ascii="Times New Roman" w:hAnsi="Times New Roman" w:cs="Times New Roman"/>
              <w:b/>
              <w:bCs/>
              <w:noProof/>
              <w:sz w:val="24"/>
              <w:szCs w:val="24"/>
            </w:rPr>
            <w:fldChar w:fldCharType="begin"/>
          </w:r>
          <w:r w:rsidRPr="009B6B5D">
            <w:rPr>
              <w:rFonts w:ascii="Times New Roman" w:hAnsi="Times New Roman" w:cs="Times New Roman"/>
              <w:b/>
              <w:bCs/>
              <w:noProof/>
              <w:sz w:val="24"/>
              <w:szCs w:val="24"/>
            </w:rPr>
            <w:instrText xml:space="preserve"> TOC \o "1-3" \h \z \u </w:instrText>
          </w:r>
          <w:r w:rsidRPr="009B6B5D">
            <w:rPr>
              <w:rFonts w:ascii="Times New Roman" w:hAnsi="Times New Roman" w:cs="Times New Roman"/>
              <w:b/>
              <w:bCs/>
              <w:noProof/>
              <w:sz w:val="24"/>
              <w:szCs w:val="24"/>
            </w:rPr>
            <w:fldChar w:fldCharType="separate"/>
          </w:r>
          <w:hyperlink w:anchor="_Toc6765975" w:history="1">
            <w:r w:rsidR="009B6B5D" w:rsidRPr="009B6B5D">
              <w:rPr>
                <w:rStyle w:val="Hyperlink"/>
                <w:rFonts w:ascii="Times New Roman" w:hAnsi="Times New Roman" w:cs="Times New Roman"/>
                <w:b/>
                <w:noProof/>
                <w:color w:val="auto"/>
              </w:rPr>
              <w:t>Introduction</w:t>
            </w:r>
            <w:r w:rsidR="009B6B5D" w:rsidRPr="009B6B5D">
              <w:rPr>
                <w:noProof/>
                <w:webHidden/>
              </w:rPr>
              <w:tab/>
            </w:r>
            <w:r w:rsidR="009B6B5D" w:rsidRPr="009B6B5D">
              <w:rPr>
                <w:noProof/>
                <w:webHidden/>
              </w:rPr>
              <w:fldChar w:fldCharType="begin"/>
            </w:r>
            <w:r w:rsidR="009B6B5D" w:rsidRPr="009B6B5D">
              <w:rPr>
                <w:noProof/>
                <w:webHidden/>
              </w:rPr>
              <w:instrText xml:space="preserve"> PAGEREF _Toc6765975 \h </w:instrText>
            </w:r>
            <w:r w:rsidR="009B6B5D" w:rsidRPr="009B6B5D">
              <w:rPr>
                <w:noProof/>
                <w:webHidden/>
              </w:rPr>
            </w:r>
            <w:r w:rsidR="009B6B5D" w:rsidRPr="009B6B5D">
              <w:rPr>
                <w:noProof/>
                <w:webHidden/>
              </w:rPr>
              <w:fldChar w:fldCharType="separate"/>
            </w:r>
            <w:r w:rsidR="009B6B5D" w:rsidRPr="009B6B5D">
              <w:rPr>
                <w:noProof/>
                <w:webHidden/>
              </w:rPr>
              <w:t>3</w:t>
            </w:r>
            <w:r w:rsidR="009B6B5D" w:rsidRPr="009B6B5D">
              <w:rPr>
                <w:noProof/>
                <w:webHidden/>
              </w:rPr>
              <w:fldChar w:fldCharType="end"/>
            </w:r>
          </w:hyperlink>
        </w:p>
        <w:p w:rsidR="009B6B5D" w:rsidRPr="009B6B5D" w:rsidRDefault="008A60B1">
          <w:pPr>
            <w:pStyle w:val="TOC2"/>
            <w:tabs>
              <w:tab w:val="right" w:leader="dot" w:pos="9350"/>
            </w:tabs>
            <w:rPr>
              <w:rFonts w:eastAsiaTheme="minorEastAsia"/>
              <w:noProof/>
            </w:rPr>
          </w:pPr>
          <w:hyperlink w:anchor="_Toc6765976" w:history="1">
            <w:r w:rsidR="009B6B5D" w:rsidRPr="009B6B5D">
              <w:rPr>
                <w:rStyle w:val="Hyperlink"/>
                <w:rFonts w:ascii="Times New Roman" w:hAnsi="Times New Roman" w:cs="Times New Roman"/>
                <w:b/>
                <w:noProof/>
                <w:color w:val="auto"/>
              </w:rPr>
              <w:t>Mission, Vision and Values</w:t>
            </w:r>
            <w:r w:rsidR="009B6B5D" w:rsidRPr="009B6B5D">
              <w:rPr>
                <w:noProof/>
                <w:webHidden/>
              </w:rPr>
              <w:tab/>
            </w:r>
            <w:r w:rsidR="009B6B5D" w:rsidRPr="009B6B5D">
              <w:rPr>
                <w:noProof/>
                <w:webHidden/>
              </w:rPr>
              <w:fldChar w:fldCharType="begin"/>
            </w:r>
            <w:r w:rsidR="009B6B5D" w:rsidRPr="009B6B5D">
              <w:rPr>
                <w:noProof/>
                <w:webHidden/>
              </w:rPr>
              <w:instrText xml:space="preserve"> PAGEREF _Toc6765976 \h </w:instrText>
            </w:r>
            <w:r w:rsidR="009B6B5D" w:rsidRPr="009B6B5D">
              <w:rPr>
                <w:noProof/>
                <w:webHidden/>
              </w:rPr>
            </w:r>
            <w:r w:rsidR="009B6B5D" w:rsidRPr="009B6B5D">
              <w:rPr>
                <w:noProof/>
                <w:webHidden/>
              </w:rPr>
              <w:fldChar w:fldCharType="separate"/>
            </w:r>
            <w:r w:rsidR="009B6B5D" w:rsidRPr="009B6B5D">
              <w:rPr>
                <w:noProof/>
                <w:webHidden/>
              </w:rPr>
              <w:t>3</w:t>
            </w:r>
            <w:r w:rsidR="009B6B5D" w:rsidRPr="009B6B5D">
              <w:rPr>
                <w:noProof/>
                <w:webHidden/>
              </w:rPr>
              <w:fldChar w:fldCharType="end"/>
            </w:r>
          </w:hyperlink>
        </w:p>
        <w:p w:rsidR="009B6B5D" w:rsidRPr="009B6B5D" w:rsidRDefault="008A60B1">
          <w:pPr>
            <w:pStyle w:val="TOC2"/>
            <w:tabs>
              <w:tab w:val="right" w:leader="dot" w:pos="9350"/>
            </w:tabs>
            <w:rPr>
              <w:rFonts w:eastAsiaTheme="minorEastAsia"/>
              <w:noProof/>
            </w:rPr>
          </w:pPr>
          <w:hyperlink w:anchor="_Toc6765977" w:history="1">
            <w:r w:rsidR="009B6B5D" w:rsidRPr="009B6B5D">
              <w:rPr>
                <w:rStyle w:val="Hyperlink"/>
                <w:rFonts w:ascii="Times New Roman" w:hAnsi="Times New Roman" w:cs="Times New Roman"/>
                <w:b/>
                <w:noProof/>
                <w:color w:val="auto"/>
              </w:rPr>
              <w:t>Organization CSR policies</w:t>
            </w:r>
            <w:r w:rsidR="009B6B5D" w:rsidRPr="009B6B5D">
              <w:rPr>
                <w:noProof/>
                <w:webHidden/>
              </w:rPr>
              <w:tab/>
            </w:r>
            <w:r w:rsidR="009B6B5D" w:rsidRPr="009B6B5D">
              <w:rPr>
                <w:noProof/>
                <w:webHidden/>
              </w:rPr>
              <w:fldChar w:fldCharType="begin"/>
            </w:r>
            <w:r w:rsidR="009B6B5D" w:rsidRPr="009B6B5D">
              <w:rPr>
                <w:noProof/>
                <w:webHidden/>
              </w:rPr>
              <w:instrText xml:space="preserve"> PAGEREF _Toc6765977 \h </w:instrText>
            </w:r>
            <w:r w:rsidR="009B6B5D" w:rsidRPr="009B6B5D">
              <w:rPr>
                <w:noProof/>
                <w:webHidden/>
              </w:rPr>
            </w:r>
            <w:r w:rsidR="009B6B5D" w:rsidRPr="009B6B5D">
              <w:rPr>
                <w:noProof/>
                <w:webHidden/>
              </w:rPr>
              <w:fldChar w:fldCharType="separate"/>
            </w:r>
            <w:r w:rsidR="009B6B5D" w:rsidRPr="009B6B5D">
              <w:rPr>
                <w:noProof/>
                <w:webHidden/>
              </w:rPr>
              <w:t>3</w:t>
            </w:r>
            <w:r w:rsidR="009B6B5D" w:rsidRPr="009B6B5D">
              <w:rPr>
                <w:noProof/>
                <w:webHidden/>
              </w:rPr>
              <w:fldChar w:fldCharType="end"/>
            </w:r>
          </w:hyperlink>
        </w:p>
        <w:p w:rsidR="009B6B5D" w:rsidRPr="009B6B5D" w:rsidRDefault="008A60B1">
          <w:pPr>
            <w:pStyle w:val="TOC1"/>
            <w:tabs>
              <w:tab w:val="right" w:leader="dot" w:pos="9350"/>
            </w:tabs>
            <w:rPr>
              <w:rFonts w:eastAsiaTheme="minorEastAsia"/>
              <w:noProof/>
            </w:rPr>
          </w:pPr>
          <w:hyperlink w:anchor="_Toc6765978" w:history="1">
            <w:r w:rsidR="009B6B5D" w:rsidRPr="009B6B5D">
              <w:rPr>
                <w:rStyle w:val="Hyperlink"/>
                <w:rFonts w:ascii="Times New Roman" w:hAnsi="Times New Roman" w:cs="Times New Roman"/>
                <w:b/>
                <w:noProof/>
                <w:color w:val="auto"/>
              </w:rPr>
              <w:t>How CSR is likely to Ensure Giordano Achieves realization Based on Perspectives of Various Shareholders</w:t>
            </w:r>
            <w:r w:rsidR="009B6B5D" w:rsidRPr="009B6B5D">
              <w:rPr>
                <w:noProof/>
                <w:webHidden/>
              </w:rPr>
              <w:tab/>
            </w:r>
            <w:r w:rsidR="009B6B5D" w:rsidRPr="009B6B5D">
              <w:rPr>
                <w:noProof/>
                <w:webHidden/>
              </w:rPr>
              <w:fldChar w:fldCharType="begin"/>
            </w:r>
            <w:r w:rsidR="009B6B5D" w:rsidRPr="009B6B5D">
              <w:rPr>
                <w:noProof/>
                <w:webHidden/>
              </w:rPr>
              <w:instrText xml:space="preserve"> PAGEREF _Toc6765978 \h </w:instrText>
            </w:r>
            <w:r w:rsidR="009B6B5D" w:rsidRPr="009B6B5D">
              <w:rPr>
                <w:noProof/>
                <w:webHidden/>
              </w:rPr>
            </w:r>
            <w:r w:rsidR="009B6B5D" w:rsidRPr="009B6B5D">
              <w:rPr>
                <w:noProof/>
                <w:webHidden/>
              </w:rPr>
              <w:fldChar w:fldCharType="separate"/>
            </w:r>
            <w:r w:rsidR="009B6B5D" w:rsidRPr="009B6B5D">
              <w:rPr>
                <w:noProof/>
                <w:webHidden/>
              </w:rPr>
              <w:t>4</w:t>
            </w:r>
            <w:r w:rsidR="009B6B5D" w:rsidRPr="009B6B5D">
              <w:rPr>
                <w:noProof/>
                <w:webHidden/>
              </w:rPr>
              <w:fldChar w:fldCharType="end"/>
            </w:r>
          </w:hyperlink>
        </w:p>
        <w:p w:rsidR="009B6B5D" w:rsidRPr="009B6B5D" w:rsidRDefault="008A60B1">
          <w:pPr>
            <w:pStyle w:val="TOC1"/>
            <w:tabs>
              <w:tab w:val="right" w:leader="dot" w:pos="9350"/>
            </w:tabs>
            <w:rPr>
              <w:rFonts w:eastAsiaTheme="minorEastAsia"/>
              <w:noProof/>
            </w:rPr>
          </w:pPr>
          <w:hyperlink w:anchor="_Toc6765979" w:history="1">
            <w:r w:rsidR="009B6B5D" w:rsidRPr="009B6B5D">
              <w:rPr>
                <w:rStyle w:val="Hyperlink"/>
                <w:rFonts w:ascii="Times New Roman" w:hAnsi="Times New Roman" w:cs="Times New Roman"/>
                <w:b/>
                <w:noProof/>
                <w:color w:val="auto"/>
              </w:rPr>
              <w:t>Triple Bottom Line Challenges and Advantages of Moving Manufacturing into Emerging Market</w:t>
            </w:r>
            <w:r w:rsidR="009B6B5D" w:rsidRPr="009B6B5D">
              <w:rPr>
                <w:noProof/>
                <w:webHidden/>
              </w:rPr>
              <w:tab/>
            </w:r>
            <w:r w:rsidR="009B6B5D" w:rsidRPr="009B6B5D">
              <w:rPr>
                <w:noProof/>
                <w:webHidden/>
              </w:rPr>
              <w:fldChar w:fldCharType="begin"/>
            </w:r>
            <w:r w:rsidR="009B6B5D" w:rsidRPr="009B6B5D">
              <w:rPr>
                <w:noProof/>
                <w:webHidden/>
              </w:rPr>
              <w:instrText xml:space="preserve"> PAGEREF _Toc6765979 \h </w:instrText>
            </w:r>
            <w:r w:rsidR="009B6B5D" w:rsidRPr="009B6B5D">
              <w:rPr>
                <w:noProof/>
                <w:webHidden/>
              </w:rPr>
            </w:r>
            <w:r w:rsidR="009B6B5D" w:rsidRPr="009B6B5D">
              <w:rPr>
                <w:noProof/>
                <w:webHidden/>
              </w:rPr>
              <w:fldChar w:fldCharType="separate"/>
            </w:r>
            <w:r w:rsidR="009B6B5D" w:rsidRPr="009B6B5D">
              <w:rPr>
                <w:noProof/>
                <w:webHidden/>
              </w:rPr>
              <w:t>6</w:t>
            </w:r>
            <w:r w:rsidR="009B6B5D" w:rsidRPr="009B6B5D">
              <w:rPr>
                <w:noProof/>
                <w:webHidden/>
              </w:rPr>
              <w:fldChar w:fldCharType="end"/>
            </w:r>
          </w:hyperlink>
        </w:p>
        <w:p w:rsidR="009B6B5D" w:rsidRPr="009B6B5D" w:rsidRDefault="008A60B1">
          <w:pPr>
            <w:pStyle w:val="TOC2"/>
            <w:tabs>
              <w:tab w:val="right" w:leader="dot" w:pos="9350"/>
            </w:tabs>
            <w:rPr>
              <w:rFonts w:eastAsiaTheme="minorEastAsia"/>
              <w:noProof/>
            </w:rPr>
          </w:pPr>
          <w:hyperlink w:anchor="_Toc6765980" w:history="1">
            <w:r w:rsidR="009B6B5D" w:rsidRPr="009B6B5D">
              <w:rPr>
                <w:rStyle w:val="Hyperlink"/>
                <w:rFonts w:ascii="Times New Roman" w:hAnsi="Times New Roman" w:cs="Times New Roman"/>
                <w:b/>
                <w:noProof/>
                <w:color w:val="auto"/>
              </w:rPr>
              <w:t>Triple Bottom Line Explained</w:t>
            </w:r>
            <w:r w:rsidR="009B6B5D" w:rsidRPr="009B6B5D">
              <w:rPr>
                <w:noProof/>
                <w:webHidden/>
              </w:rPr>
              <w:tab/>
            </w:r>
            <w:r w:rsidR="009B6B5D" w:rsidRPr="009B6B5D">
              <w:rPr>
                <w:noProof/>
                <w:webHidden/>
              </w:rPr>
              <w:fldChar w:fldCharType="begin"/>
            </w:r>
            <w:r w:rsidR="009B6B5D" w:rsidRPr="009B6B5D">
              <w:rPr>
                <w:noProof/>
                <w:webHidden/>
              </w:rPr>
              <w:instrText xml:space="preserve"> PAGEREF _Toc6765980 \h </w:instrText>
            </w:r>
            <w:r w:rsidR="009B6B5D" w:rsidRPr="009B6B5D">
              <w:rPr>
                <w:noProof/>
                <w:webHidden/>
              </w:rPr>
            </w:r>
            <w:r w:rsidR="009B6B5D" w:rsidRPr="009B6B5D">
              <w:rPr>
                <w:noProof/>
                <w:webHidden/>
              </w:rPr>
              <w:fldChar w:fldCharType="separate"/>
            </w:r>
            <w:r w:rsidR="009B6B5D" w:rsidRPr="009B6B5D">
              <w:rPr>
                <w:noProof/>
                <w:webHidden/>
              </w:rPr>
              <w:t>6</w:t>
            </w:r>
            <w:r w:rsidR="009B6B5D" w:rsidRPr="009B6B5D">
              <w:rPr>
                <w:noProof/>
                <w:webHidden/>
              </w:rPr>
              <w:fldChar w:fldCharType="end"/>
            </w:r>
          </w:hyperlink>
        </w:p>
        <w:p w:rsidR="009B6B5D" w:rsidRPr="009B6B5D" w:rsidRDefault="008A60B1">
          <w:pPr>
            <w:pStyle w:val="TOC2"/>
            <w:tabs>
              <w:tab w:val="right" w:leader="dot" w:pos="9350"/>
            </w:tabs>
            <w:rPr>
              <w:rFonts w:eastAsiaTheme="minorEastAsia"/>
              <w:noProof/>
            </w:rPr>
          </w:pPr>
          <w:hyperlink w:anchor="_Toc6765981" w:history="1">
            <w:r w:rsidR="009B6B5D" w:rsidRPr="009B6B5D">
              <w:rPr>
                <w:rStyle w:val="Hyperlink"/>
                <w:rFonts w:ascii="Times New Roman" w:hAnsi="Times New Roman" w:cs="Times New Roman"/>
                <w:b/>
                <w:noProof/>
                <w:color w:val="auto"/>
              </w:rPr>
              <w:t>Environmental Perspective</w:t>
            </w:r>
            <w:r w:rsidR="009B6B5D" w:rsidRPr="009B6B5D">
              <w:rPr>
                <w:noProof/>
                <w:webHidden/>
              </w:rPr>
              <w:tab/>
            </w:r>
            <w:r w:rsidR="009B6B5D" w:rsidRPr="009B6B5D">
              <w:rPr>
                <w:noProof/>
                <w:webHidden/>
              </w:rPr>
              <w:fldChar w:fldCharType="begin"/>
            </w:r>
            <w:r w:rsidR="009B6B5D" w:rsidRPr="009B6B5D">
              <w:rPr>
                <w:noProof/>
                <w:webHidden/>
              </w:rPr>
              <w:instrText xml:space="preserve"> PAGEREF _Toc6765981 \h </w:instrText>
            </w:r>
            <w:r w:rsidR="009B6B5D" w:rsidRPr="009B6B5D">
              <w:rPr>
                <w:noProof/>
                <w:webHidden/>
              </w:rPr>
            </w:r>
            <w:r w:rsidR="009B6B5D" w:rsidRPr="009B6B5D">
              <w:rPr>
                <w:noProof/>
                <w:webHidden/>
              </w:rPr>
              <w:fldChar w:fldCharType="separate"/>
            </w:r>
            <w:r w:rsidR="009B6B5D" w:rsidRPr="009B6B5D">
              <w:rPr>
                <w:noProof/>
                <w:webHidden/>
              </w:rPr>
              <w:t>7</w:t>
            </w:r>
            <w:r w:rsidR="009B6B5D" w:rsidRPr="009B6B5D">
              <w:rPr>
                <w:noProof/>
                <w:webHidden/>
              </w:rPr>
              <w:fldChar w:fldCharType="end"/>
            </w:r>
          </w:hyperlink>
        </w:p>
        <w:p w:rsidR="009B6B5D" w:rsidRPr="009B6B5D" w:rsidRDefault="008A60B1">
          <w:pPr>
            <w:pStyle w:val="TOC2"/>
            <w:tabs>
              <w:tab w:val="right" w:leader="dot" w:pos="9350"/>
            </w:tabs>
            <w:rPr>
              <w:rFonts w:eastAsiaTheme="minorEastAsia"/>
              <w:noProof/>
            </w:rPr>
          </w:pPr>
          <w:hyperlink w:anchor="_Toc6765982" w:history="1">
            <w:r w:rsidR="009B6B5D" w:rsidRPr="009B6B5D">
              <w:rPr>
                <w:rStyle w:val="Hyperlink"/>
                <w:rFonts w:ascii="Times New Roman" w:hAnsi="Times New Roman" w:cs="Times New Roman"/>
                <w:b/>
                <w:noProof/>
                <w:color w:val="auto"/>
              </w:rPr>
              <w:t>Economic Perspective</w:t>
            </w:r>
            <w:r w:rsidR="009B6B5D" w:rsidRPr="009B6B5D">
              <w:rPr>
                <w:noProof/>
                <w:webHidden/>
              </w:rPr>
              <w:tab/>
            </w:r>
            <w:r w:rsidR="009B6B5D" w:rsidRPr="009B6B5D">
              <w:rPr>
                <w:noProof/>
                <w:webHidden/>
              </w:rPr>
              <w:fldChar w:fldCharType="begin"/>
            </w:r>
            <w:r w:rsidR="009B6B5D" w:rsidRPr="009B6B5D">
              <w:rPr>
                <w:noProof/>
                <w:webHidden/>
              </w:rPr>
              <w:instrText xml:space="preserve"> PAGEREF _Toc6765982 \h </w:instrText>
            </w:r>
            <w:r w:rsidR="009B6B5D" w:rsidRPr="009B6B5D">
              <w:rPr>
                <w:noProof/>
                <w:webHidden/>
              </w:rPr>
            </w:r>
            <w:r w:rsidR="009B6B5D" w:rsidRPr="009B6B5D">
              <w:rPr>
                <w:noProof/>
                <w:webHidden/>
              </w:rPr>
              <w:fldChar w:fldCharType="separate"/>
            </w:r>
            <w:r w:rsidR="009B6B5D" w:rsidRPr="009B6B5D">
              <w:rPr>
                <w:noProof/>
                <w:webHidden/>
              </w:rPr>
              <w:t>7</w:t>
            </w:r>
            <w:r w:rsidR="009B6B5D" w:rsidRPr="009B6B5D">
              <w:rPr>
                <w:noProof/>
                <w:webHidden/>
              </w:rPr>
              <w:fldChar w:fldCharType="end"/>
            </w:r>
          </w:hyperlink>
        </w:p>
        <w:p w:rsidR="009B6B5D" w:rsidRPr="009B6B5D" w:rsidRDefault="008A60B1">
          <w:pPr>
            <w:pStyle w:val="TOC2"/>
            <w:tabs>
              <w:tab w:val="right" w:leader="dot" w:pos="9350"/>
            </w:tabs>
            <w:rPr>
              <w:rFonts w:eastAsiaTheme="minorEastAsia"/>
              <w:noProof/>
            </w:rPr>
          </w:pPr>
          <w:hyperlink w:anchor="_Toc6765983" w:history="1">
            <w:r w:rsidR="009B6B5D" w:rsidRPr="009B6B5D">
              <w:rPr>
                <w:rStyle w:val="Hyperlink"/>
                <w:rFonts w:ascii="Times New Roman" w:hAnsi="Times New Roman" w:cs="Times New Roman"/>
                <w:b/>
                <w:noProof/>
                <w:color w:val="auto"/>
              </w:rPr>
              <w:t>Social Perspective</w:t>
            </w:r>
            <w:r w:rsidR="009B6B5D" w:rsidRPr="009B6B5D">
              <w:rPr>
                <w:noProof/>
                <w:webHidden/>
              </w:rPr>
              <w:tab/>
            </w:r>
            <w:r w:rsidR="009B6B5D" w:rsidRPr="009B6B5D">
              <w:rPr>
                <w:noProof/>
                <w:webHidden/>
              </w:rPr>
              <w:fldChar w:fldCharType="begin"/>
            </w:r>
            <w:r w:rsidR="009B6B5D" w:rsidRPr="009B6B5D">
              <w:rPr>
                <w:noProof/>
                <w:webHidden/>
              </w:rPr>
              <w:instrText xml:space="preserve"> PAGEREF _Toc6765983 \h </w:instrText>
            </w:r>
            <w:r w:rsidR="009B6B5D" w:rsidRPr="009B6B5D">
              <w:rPr>
                <w:noProof/>
                <w:webHidden/>
              </w:rPr>
            </w:r>
            <w:r w:rsidR="009B6B5D" w:rsidRPr="009B6B5D">
              <w:rPr>
                <w:noProof/>
                <w:webHidden/>
              </w:rPr>
              <w:fldChar w:fldCharType="separate"/>
            </w:r>
            <w:r w:rsidR="009B6B5D" w:rsidRPr="009B6B5D">
              <w:rPr>
                <w:noProof/>
                <w:webHidden/>
              </w:rPr>
              <w:t>7</w:t>
            </w:r>
            <w:r w:rsidR="009B6B5D" w:rsidRPr="009B6B5D">
              <w:rPr>
                <w:noProof/>
                <w:webHidden/>
              </w:rPr>
              <w:fldChar w:fldCharType="end"/>
            </w:r>
          </w:hyperlink>
        </w:p>
        <w:p w:rsidR="009B6B5D" w:rsidRPr="009B6B5D" w:rsidRDefault="008A60B1">
          <w:pPr>
            <w:pStyle w:val="TOC2"/>
            <w:tabs>
              <w:tab w:val="right" w:leader="dot" w:pos="9350"/>
            </w:tabs>
            <w:rPr>
              <w:rFonts w:eastAsiaTheme="minorEastAsia"/>
              <w:noProof/>
            </w:rPr>
          </w:pPr>
          <w:hyperlink w:anchor="_Toc6765984" w:history="1">
            <w:r w:rsidR="009B6B5D" w:rsidRPr="009B6B5D">
              <w:rPr>
                <w:rStyle w:val="Hyperlink"/>
                <w:rFonts w:ascii="Times New Roman" w:hAnsi="Times New Roman" w:cs="Times New Roman"/>
                <w:b/>
                <w:noProof/>
                <w:color w:val="auto"/>
              </w:rPr>
              <w:t>Advantages</w:t>
            </w:r>
            <w:r w:rsidR="009B6B5D" w:rsidRPr="009B6B5D">
              <w:rPr>
                <w:noProof/>
                <w:webHidden/>
              </w:rPr>
              <w:tab/>
            </w:r>
            <w:r w:rsidR="009B6B5D" w:rsidRPr="009B6B5D">
              <w:rPr>
                <w:noProof/>
                <w:webHidden/>
              </w:rPr>
              <w:fldChar w:fldCharType="begin"/>
            </w:r>
            <w:r w:rsidR="009B6B5D" w:rsidRPr="009B6B5D">
              <w:rPr>
                <w:noProof/>
                <w:webHidden/>
              </w:rPr>
              <w:instrText xml:space="preserve"> PAGEREF _Toc6765984 \h </w:instrText>
            </w:r>
            <w:r w:rsidR="009B6B5D" w:rsidRPr="009B6B5D">
              <w:rPr>
                <w:noProof/>
                <w:webHidden/>
              </w:rPr>
            </w:r>
            <w:r w:rsidR="009B6B5D" w:rsidRPr="009B6B5D">
              <w:rPr>
                <w:noProof/>
                <w:webHidden/>
              </w:rPr>
              <w:fldChar w:fldCharType="separate"/>
            </w:r>
            <w:r w:rsidR="009B6B5D" w:rsidRPr="009B6B5D">
              <w:rPr>
                <w:noProof/>
                <w:webHidden/>
              </w:rPr>
              <w:t>8</w:t>
            </w:r>
            <w:r w:rsidR="009B6B5D" w:rsidRPr="009B6B5D">
              <w:rPr>
                <w:noProof/>
                <w:webHidden/>
              </w:rPr>
              <w:fldChar w:fldCharType="end"/>
            </w:r>
          </w:hyperlink>
        </w:p>
        <w:p w:rsidR="009B6B5D" w:rsidRPr="009B6B5D" w:rsidRDefault="008A60B1">
          <w:pPr>
            <w:pStyle w:val="TOC2"/>
            <w:tabs>
              <w:tab w:val="right" w:leader="dot" w:pos="9350"/>
            </w:tabs>
            <w:rPr>
              <w:rFonts w:eastAsiaTheme="minorEastAsia"/>
              <w:noProof/>
            </w:rPr>
          </w:pPr>
          <w:hyperlink w:anchor="_Toc6765985" w:history="1">
            <w:r w:rsidR="009B6B5D" w:rsidRPr="009B6B5D">
              <w:rPr>
                <w:rStyle w:val="Hyperlink"/>
                <w:rFonts w:ascii="Times New Roman" w:hAnsi="Times New Roman" w:cs="Times New Roman"/>
                <w:b/>
                <w:noProof/>
                <w:color w:val="auto"/>
              </w:rPr>
              <w:t>Disadvantages</w:t>
            </w:r>
            <w:r w:rsidR="009B6B5D" w:rsidRPr="009B6B5D">
              <w:rPr>
                <w:noProof/>
                <w:webHidden/>
              </w:rPr>
              <w:tab/>
            </w:r>
            <w:r w:rsidR="009B6B5D" w:rsidRPr="009B6B5D">
              <w:rPr>
                <w:noProof/>
                <w:webHidden/>
              </w:rPr>
              <w:fldChar w:fldCharType="begin"/>
            </w:r>
            <w:r w:rsidR="009B6B5D" w:rsidRPr="009B6B5D">
              <w:rPr>
                <w:noProof/>
                <w:webHidden/>
              </w:rPr>
              <w:instrText xml:space="preserve"> PAGEREF _Toc6765985 \h </w:instrText>
            </w:r>
            <w:r w:rsidR="009B6B5D" w:rsidRPr="009B6B5D">
              <w:rPr>
                <w:noProof/>
                <w:webHidden/>
              </w:rPr>
            </w:r>
            <w:r w:rsidR="009B6B5D" w:rsidRPr="009B6B5D">
              <w:rPr>
                <w:noProof/>
                <w:webHidden/>
              </w:rPr>
              <w:fldChar w:fldCharType="separate"/>
            </w:r>
            <w:r w:rsidR="009B6B5D" w:rsidRPr="009B6B5D">
              <w:rPr>
                <w:noProof/>
                <w:webHidden/>
              </w:rPr>
              <w:t>9</w:t>
            </w:r>
            <w:r w:rsidR="009B6B5D" w:rsidRPr="009B6B5D">
              <w:rPr>
                <w:noProof/>
                <w:webHidden/>
              </w:rPr>
              <w:fldChar w:fldCharType="end"/>
            </w:r>
          </w:hyperlink>
        </w:p>
        <w:p w:rsidR="009B6B5D" w:rsidRPr="009B6B5D" w:rsidRDefault="008A60B1">
          <w:pPr>
            <w:pStyle w:val="TOC2"/>
            <w:tabs>
              <w:tab w:val="right" w:leader="dot" w:pos="9350"/>
            </w:tabs>
            <w:rPr>
              <w:rFonts w:eastAsiaTheme="minorEastAsia"/>
              <w:noProof/>
            </w:rPr>
          </w:pPr>
          <w:hyperlink w:anchor="_Toc6765986" w:history="1">
            <w:r w:rsidR="009B6B5D" w:rsidRPr="009B6B5D">
              <w:rPr>
                <w:rStyle w:val="Hyperlink"/>
                <w:rFonts w:ascii="Times New Roman" w:hAnsi="Times New Roman" w:cs="Times New Roman"/>
                <w:b/>
                <w:noProof/>
                <w:color w:val="auto"/>
              </w:rPr>
              <w:t>Ethical Perspective</w:t>
            </w:r>
            <w:r w:rsidR="009B6B5D" w:rsidRPr="009B6B5D">
              <w:rPr>
                <w:noProof/>
                <w:webHidden/>
              </w:rPr>
              <w:tab/>
            </w:r>
            <w:r w:rsidR="009B6B5D" w:rsidRPr="009B6B5D">
              <w:rPr>
                <w:noProof/>
                <w:webHidden/>
              </w:rPr>
              <w:fldChar w:fldCharType="begin"/>
            </w:r>
            <w:r w:rsidR="009B6B5D" w:rsidRPr="009B6B5D">
              <w:rPr>
                <w:noProof/>
                <w:webHidden/>
              </w:rPr>
              <w:instrText xml:space="preserve"> PAGEREF _Toc6765986 \h </w:instrText>
            </w:r>
            <w:r w:rsidR="009B6B5D" w:rsidRPr="009B6B5D">
              <w:rPr>
                <w:noProof/>
                <w:webHidden/>
              </w:rPr>
            </w:r>
            <w:r w:rsidR="009B6B5D" w:rsidRPr="009B6B5D">
              <w:rPr>
                <w:noProof/>
                <w:webHidden/>
              </w:rPr>
              <w:fldChar w:fldCharType="separate"/>
            </w:r>
            <w:r w:rsidR="009B6B5D" w:rsidRPr="009B6B5D">
              <w:rPr>
                <w:noProof/>
                <w:webHidden/>
              </w:rPr>
              <w:t>9</w:t>
            </w:r>
            <w:r w:rsidR="009B6B5D" w:rsidRPr="009B6B5D">
              <w:rPr>
                <w:noProof/>
                <w:webHidden/>
              </w:rPr>
              <w:fldChar w:fldCharType="end"/>
            </w:r>
          </w:hyperlink>
        </w:p>
        <w:p w:rsidR="009B6B5D" w:rsidRPr="009B6B5D" w:rsidRDefault="008A60B1">
          <w:pPr>
            <w:pStyle w:val="TOC2"/>
            <w:tabs>
              <w:tab w:val="right" w:leader="dot" w:pos="9350"/>
            </w:tabs>
            <w:rPr>
              <w:rFonts w:eastAsiaTheme="minorEastAsia"/>
              <w:noProof/>
            </w:rPr>
          </w:pPr>
          <w:hyperlink w:anchor="_Toc6765987" w:history="1">
            <w:r w:rsidR="009B6B5D" w:rsidRPr="009B6B5D">
              <w:rPr>
                <w:rStyle w:val="Hyperlink"/>
                <w:rFonts w:ascii="Times New Roman" w:hAnsi="Times New Roman" w:cs="Times New Roman"/>
                <w:b/>
                <w:noProof/>
                <w:color w:val="auto"/>
              </w:rPr>
              <w:t>Impacts on an Emerging Market</w:t>
            </w:r>
            <w:r w:rsidR="009B6B5D" w:rsidRPr="009B6B5D">
              <w:rPr>
                <w:noProof/>
                <w:webHidden/>
              </w:rPr>
              <w:tab/>
            </w:r>
            <w:r w:rsidR="009B6B5D" w:rsidRPr="009B6B5D">
              <w:rPr>
                <w:noProof/>
                <w:webHidden/>
              </w:rPr>
              <w:fldChar w:fldCharType="begin"/>
            </w:r>
            <w:r w:rsidR="009B6B5D" w:rsidRPr="009B6B5D">
              <w:rPr>
                <w:noProof/>
                <w:webHidden/>
              </w:rPr>
              <w:instrText xml:space="preserve"> PAGEREF _Toc6765987 \h </w:instrText>
            </w:r>
            <w:r w:rsidR="009B6B5D" w:rsidRPr="009B6B5D">
              <w:rPr>
                <w:noProof/>
                <w:webHidden/>
              </w:rPr>
            </w:r>
            <w:r w:rsidR="009B6B5D" w:rsidRPr="009B6B5D">
              <w:rPr>
                <w:noProof/>
                <w:webHidden/>
              </w:rPr>
              <w:fldChar w:fldCharType="separate"/>
            </w:r>
            <w:r w:rsidR="009B6B5D" w:rsidRPr="009B6B5D">
              <w:rPr>
                <w:noProof/>
                <w:webHidden/>
              </w:rPr>
              <w:t>10</w:t>
            </w:r>
            <w:r w:rsidR="009B6B5D" w:rsidRPr="009B6B5D">
              <w:rPr>
                <w:noProof/>
                <w:webHidden/>
              </w:rPr>
              <w:fldChar w:fldCharType="end"/>
            </w:r>
          </w:hyperlink>
        </w:p>
        <w:p w:rsidR="009B6B5D" w:rsidRPr="009B6B5D" w:rsidRDefault="008A60B1">
          <w:pPr>
            <w:pStyle w:val="TOC1"/>
            <w:tabs>
              <w:tab w:val="right" w:leader="dot" w:pos="9350"/>
            </w:tabs>
            <w:rPr>
              <w:rFonts w:eastAsiaTheme="minorEastAsia"/>
              <w:noProof/>
            </w:rPr>
          </w:pPr>
          <w:hyperlink w:anchor="_Toc6765988" w:history="1">
            <w:r w:rsidR="009B6B5D" w:rsidRPr="009B6B5D">
              <w:rPr>
                <w:rStyle w:val="Hyperlink"/>
                <w:rFonts w:ascii="Times New Roman" w:hAnsi="Times New Roman" w:cs="Times New Roman"/>
                <w:b/>
                <w:noProof/>
                <w:color w:val="auto"/>
              </w:rPr>
              <w:t>Decision and Recommendations</w:t>
            </w:r>
            <w:r w:rsidR="009B6B5D" w:rsidRPr="009B6B5D">
              <w:rPr>
                <w:noProof/>
                <w:webHidden/>
              </w:rPr>
              <w:tab/>
            </w:r>
            <w:r w:rsidR="009B6B5D" w:rsidRPr="009B6B5D">
              <w:rPr>
                <w:noProof/>
                <w:webHidden/>
              </w:rPr>
              <w:fldChar w:fldCharType="begin"/>
            </w:r>
            <w:r w:rsidR="009B6B5D" w:rsidRPr="009B6B5D">
              <w:rPr>
                <w:noProof/>
                <w:webHidden/>
              </w:rPr>
              <w:instrText xml:space="preserve"> PAGEREF _Toc6765988 \h </w:instrText>
            </w:r>
            <w:r w:rsidR="009B6B5D" w:rsidRPr="009B6B5D">
              <w:rPr>
                <w:noProof/>
                <w:webHidden/>
              </w:rPr>
            </w:r>
            <w:r w:rsidR="009B6B5D" w:rsidRPr="009B6B5D">
              <w:rPr>
                <w:noProof/>
                <w:webHidden/>
              </w:rPr>
              <w:fldChar w:fldCharType="separate"/>
            </w:r>
            <w:r w:rsidR="009B6B5D" w:rsidRPr="009B6B5D">
              <w:rPr>
                <w:noProof/>
                <w:webHidden/>
              </w:rPr>
              <w:t>10</w:t>
            </w:r>
            <w:r w:rsidR="009B6B5D" w:rsidRPr="009B6B5D">
              <w:rPr>
                <w:noProof/>
                <w:webHidden/>
              </w:rPr>
              <w:fldChar w:fldCharType="end"/>
            </w:r>
          </w:hyperlink>
        </w:p>
        <w:p w:rsidR="009B6B5D" w:rsidRPr="009B6B5D" w:rsidRDefault="008A60B1">
          <w:pPr>
            <w:pStyle w:val="TOC1"/>
            <w:tabs>
              <w:tab w:val="right" w:leader="dot" w:pos="9350"/>
            </w:tabs>
            <w:rPr>
              <w:rFonts w:eastAsiaTheme="minorEastAsia"/>
              <w:noProof/>
            </w:rPr>
          </w:pPr>
          <w:hyperlink w:anchor="_Toc6765989" w:history="1">
            <w:r w:rsidR="009B6B5D" w:rsidRPr="009B6B5D">
              <w:rPr>
                <w:rStyle w:val="Hyperlink"/>
                <w:rFonts w:ascii="Times New Roman" w:hAnsi="Times New Roman" w:cs="Times New Roman"/>
                <w:b/>
                <w:noProof/>
                <w:color w:val="auto"/>
              </w:rPr>
              <w:t>References</w:t>
            </w:r>
            <w:r w:rsidR="009B6B5D" w:rsidRPr="009B6B5D">
              <w:rPr>
                <w:noProof/>
                <w:webHidden/>
              </w:rPr>
              <w:tab/>
            </w:r>
            <w:r w:rsidR="009B6B5D" w:rsidRPr="009B6B5D">
              <w:rPr>
                <w:noProof/>
                <w:webHidden/>
              </w:rPr>
              <w:fldChar w:fldCharType="begin"/>
            </w:r>
            <w:r w:rsidR="009B6B5D" w:rsidRPr="009B6B5D">
              <w:rPr>
                <w:noProof/>
                <w:webHidden/>
              </w:rPr>
              <w:instrText xml:space="preserve"> PAGEREF _Toc6765989 \h </w:instrText>
            </w:r>
            <w:r w:rsidR="009B6B5D" w:rsidRPr="009B6B5D">
              <w:rPr>
                <w:noProof/>
                <w:webHidden/>
              </w:rPr>
            </w:r>
            <w:r w:rsidR="009B6B5D" w:rsidRPr="009B6B5D">
              <w:rPr>
                <w:noProof/>
                <w:webHidden/>
              </w:rPr>
              <w:fldChar w:fldCharType="separate"/>
            </w:r>
            <w:r w:rsidR="009B6B5D" w:rsidRPr="009B6B5D">
              <w:rPr>
                <w:noProof/>
                <w:webHidden/>
              </w:rPr>
              <w:t>14</w:t>
            </w:r>
            <w:r w:rsidR="009B6B5D" w:rsidRPr="009B6B5D">
              <w:rPr>
                <w:noProof/>
                <w:webHidden/>
              </w:rPr>
              <w:fldChar w:fldCharType="end"/>
            </w:r>
          </w:hyperlink>
        </w:p>
        <w:p w:rsidR="009952EF" w:rsidRPr="009B6B5D" w:rsidRDefault="009952EF">
          <w:pPr>
            <w:rPr>
              <w:rFonts w:ascii="Times New Roman" w:hAnsi="Times New Roman" w:cs="Times New Roman"/>
              <w:sz w:val="24"/>
              <w:szCs w:val="24"/>
            </w:rPr>
          </w:pPr>
          <w:r w:rsidRPr="009B6B5D">
            <w:rPr>
              <w:rFonts w:ascii="Times New Roman" w:hAnsi="Times New Roman" w:cs="Times New Roman"/>
              <w:b/>
              <w:bCs/>
              <w:noProof/>
              <w:sz w:val="24"/>
              <w:szCs w:val="24"/>
            </w:rPr>
            <w:fldChar w:fldCharType="end"/>
          </w:r>
        </w:p>
      </w:sdtContent>
    </w:sdt>
    <w:p w:rsidR="009952EF" w:rsidRPr="009B6B5D" w:rsidRDefault="009952EF">
      <w:pPr>
        <w:rPr>
          <w:rFonts w:ascii="Times New Roman" w:hAnsi="Times New Roman" w:cs="Times New Roman"/>
          <w:sz w:val="24"/>
          <w:szCs w:val="24"/>
        </w:rPr>
      </w:pPr>
      <w:r w:rsidRPr="009B6B5D">
        <w:rPr>
          <w:rFonts w:ascii="Times New Roman" w:hAnsi="Times New Roman" w:cs="Times New Roman"/>
          <w:sz w:val="24"/>
          <w:szCs w:val="24"/>
        </w:rPr>
        <w:br w:type="page"/>
      </w:r>
    </w:p>
    <w:p w:rsidR="009952EF" w:rsidRPr="009B6B5D" w:rsidRDefault="009952EF" w:rsidP="009952EF">
      <w:pPr>
        <w:rPr>
          <w:rFonts w:ascii="Times New Roman" w:hAnsi="Times New Roman" w:cs="Times New Roman"/>
          <w:sz w:val="24"/>
          <w:szCs w:val="24"/>
        </w:rPr>
      </w:pPr>
    </w:p>
    <w:p w:rsidR="006C03D4" w:rsidRPr="009B6B5D" w:rsidRDefault="006C03D4" w:rsidP="006C03D4">
      <w:pPr>
        <w:spacing w:line="480" w:lineRule="auto"/>
        <w:jc w:val="center"/>
        <w:rPr>
          <w:rFonts w:ascii="Times New Roman" w:hAnsi="Times New Roman" w:cs="Times New Roman"/>
          <w:sz w:val="24"/>
          <w:szCs w:val="24"/>
        </w:rPr>
      </w:pPr>
      <w:r w:rsidRPr="009B6B5D">
        <w:rPr>
          <w:rFonts w:ascii="Times New Roman" w:hAnsi="Times New Roman" w:cs="Times New Roman"/>
          <w:sz w:val="24"/>
          <w:szCs w:val="24"/>
        </w:rPr>
        <w:t>Giordano</w:t>
      </w:r>
    </w:p>
    <w:p w:rsidR="006C03D4" w:rsidRPr="009B6B5D" w:rsidRDefault="006C03D4" w:rsidP="006C03D4">
      <w:pPr>
        <w:spacing w:line="480" w:lineRule="auto"/>
        <w:jc w:val="center"/>
        <w:rPr>
          <w:rFonts w:ascii="Times New Roman" w:hAnsi="Times New Roman" w:cs="Times New Roman"/>
          <w:b/>
          <w:sz w:val="24"/>
          <w:szCs w:val="24"/>
        </w:rPr>
      </w:pPr>
      <w:r w:rsidRPr="009B6B5D">
        <w:rPr>
          <w:rFonts w:ascii="Times New Roman" w:hAnsi="Times New Roman" w:cs="Times New Roman"/>
          <w:b/>
          <w:sz w:val="24"/>
          <w:szCs w:val="24"/>
        </w:rPr>
        <w:t xml:space="preserve">Strategic Management &amp; Corporate Responsibility </w:t>
      </w:r>
    </w:p>
    <w:p w:rsidR="006C03D4" w:rsidRPr="009B6B5D" w:rsidRDefault="006C03D4" w:rsidP="009952EF">
      <w:pPr>
        <w:pStyle w:val="Heading1"/>
        <w:rPr>
          <w:rFonts w:ascii="Times New Roman" w:hAnsi="Times New Roman" w:cs="Times New Roman"/>
          <w:b/>
          <w:color w:val="auto"/>
          <w:sz w:val="24"/>
          <w:szCs w:val="24"/>
        </w:rPr>
      </w:pPr>
      <w:bookmarkStart w:id="0" w:name="_Toc6765975"/>
      <w:r w:rsidRPr="009B6B5D">
        <w:rPr>
          <w:rFonts w:ascii="Times New Roman" w:hAnsi="Times New Roman" w:cs="Times New Roman"/>
          <w:b/>
          <w:color w:val="auto"/>
          <w:sz w:val="24"/>
          <w:szCs w:val="24"/>
        </w:rPr>
        <w:t>Introduction</w:t>
      </w:r>
      <w:bookmarkEnd w:id="0"/>
    </w:p>
    <w:p w:rsidR="006C03D4" w:rsidRPr="009B6B5D" w:rsidRDefault="006C03D4" w:rsidP="006C03D4">
      <w:pPr>
        <w:spacing w:line="480" w:lineRule="auto"/>
        <w:ind w:firstLine="720"/>
        <w:rPr>
          <w:rFonts w:ascii="Times New Roman" w:hAnsi="Times New Roman" w:cs="Times New Roman"/>
          <w:sz w:val="24"/>
          <w:szCs w:val="24"/>
        </w:rPr>
      </w:pPr>
      <w:r w:rsidRPr="009B6B5D">
        <w:rPr>
          <w:rFonts w:ascii="Times New Roman" w:hAnsi="Times New Roman" w:cs="Times New Roman"/>
          <w:sz w:val="24"/>
          <w:szCs w:val="24"/>
        </w:rPr>
        <w:t xml:space="preserve">Giordano International is an organization that was founded in 1981. It was started in Hong Kong City and has since developed even into the global market. It deals with selling attire and accessories. The company sated as a single store and has since grown into the worldwide market having over 2300 stores worldwide in over thirty countries. Its major brands include “Giordano Junior” for children, “Giordano Ladies” for women among others. </w:t>
      </w:r>
    </w:p>
    <w:p w:rsidR="006C03D4" w:rsidRPr="009B6B5D" w:rsidRDefault="006C03D4" w:rsidP="009952EF">
      <w:pPr>
        <w:pStyle w:val="Heading2"/>
        <w:rPr>
          <w:rFonts w:ascii="Times New Roman" w:hAnsi="Times New Roman" w:cs="Times New Roman"/>
          <w:b/>
          <w:color w:val="auto"/>
          <w:sz w:val="24"/>
          <w:szCs w:val="24"/>
        </w:rPr>
      </w:pPr>
      <w:bookmarkStart w:id="1" w:name="_Toc6765976"/>
      <w:r w:rsidRPr="009B6B5D">
        <w:rPr>
          <w:rFonts w:ascii="Times New Roman" w:hAnsi="Times New Roman" w:cs="Times New Roman"/>
          <w:b/>
          <w:color w:val="auto"/>
          <w:sz w:val="24"/>
          <w:szCs w:val="24"/>
        </w:rPr>
        <w:t>Mission, Vision and Values</w:t>
      </w:r>
      <w:bookmarkEnd w:id="1"/>
    </w:p>
    <w:p w:rsidR="006C03D4" w:rsidRPr="009B6B5D" w:rsidRDefault="006C03D4" w:rsidP="006C03D4">
      <w:pPr>
        <w:spacing w:line="480" w:lineRule="auto"/>
        <w:ind w:firstLine="720"/>
        <w:rPr>
          <w:rFonts w:ascii="Times New Roman" w:hAnsi="Times New Roman" w:cs="Times New Roman"/>
          <w:sz w:val="24"/>
          <w:szCs w:val="24"/>
        </w:rPr>
      </w:pPr>
      <w:r w:rsidRPr="009B6B5D">
        <w:rPr>
          <w:rFonts w:ascii="Times New Roman" w:hAnsi="Times New Roman" w:cs="Times New Roman"/>
          <w:sz w:val="24"/>
          <w:szCs w:val="24"/>
        </w:rPr>
        <w:t xml:space="preserve">The vision of the company states “To be the best and the biggest world brand in apparel retailing.” The mission of the organization brand states “To Make People Feel Good and Look Great.” Corporate values include Q.K.I.S.S – the initials stand for Quality in their items, Knowledge, Innovation, Services that are superior compared to other competing companies, and Simplicity in their design. </w:t>
      </w:r>
    </w:p>
    <w:p w:rsidR="006C03D4" w:rsidRPr="009B6B5D" w:rsidRDefault="006C03D4" w:rsidP="009952EF">
      <w:pPr>
        <w:pStyle w:val="Heading2"/>
        <w:rPr>
          <w:rFonts w:ascii="Times New Roman" w:hAnsi="Times New Roman" w:cs="Times New Roman"/>
          <w:b/>
          <w:color w:val="auto"/>
          <w:sz w:val="24"/>
          <w:szCs w:val="24"/>
        </w:rPr>
      </w:pPr>
      <w:bookmarkStart w:id="2" w:name="_Toc6765977"/>
      <w:r w:rsidRPr="009B6B5D">
        <w:rPr>
          <w:rFonts w:ascii="Times New Roman" w:hAnsi="Times New Roman" w:cs="Times New Roman"/>
          <w:b/>
          <w:color w:val="auto"/>
          <w:sz w:val="24"/>
          <w:szCs w:val="24"/>
        </w:rPr>
        <w:t>Organization CSR policies</w:t>
      </w:r>
      <w:bookmarkEnd w:id="2"/>
    </w:p>
    <w:p w:rsidR="006C03D4" w:rsidRPr="009B6B5D" w:rsidRDefault="006C03D4" w:rsidP="006C03D4">
      <w:pPr>
        <w:spacing w:line="480" w:lineRule="auto"/>
        <w:ind w:firstLine="720"/>
        <w:rPr>
          <w:rFonts w:ascii="Times New Roman" w:hAnsi="Times New Roman" w:cs="Times New Roman"/>
          <w:sz w:val="24"/>
          <w:szCs w:val="24"/>
        </w:rPr>
      </w:pPr>
      <w:r w:rsidRPr="009B6B5D">
        <w:rPr>
          <w:rFonts w:ascii="Times New Roman" w:hAnsi="Times New Roman" w:cs="Times New Roman"/>
          <w:sz w:val="24"/>
          <w:szCs w:val="24"/>
        </w:rPr>
        <w:t xml:space="preserve">Non-discrimination- the company treats its employees well since it believes in teamwork and cooperation for success. Hiring, rewarding and promotions are done based on merit and fairness. Safety and Health- Giordano provides a pleasant working environment for its workers and clients by reducing cases of accidents in workplaces. Environment- the business processes are environmentally friendly and comply with the set standards and regulatory systems. Community Involvement- the company has always worked with the communities impacting people’s lives in a significant way through volunteer work and charities. Ethical Sourcing- the </w:t>
      </w:r>
      <w:r w:rsidRPr="009B6B5D">
        <w:rPr>
          <w:rFonts w:ascii="Times New Roman" w:hAnsi="Times New Roman" w:cs="Times New Roman"/>
          <w:sz w:val="24"/>
          <w:szCs w:val="24"/>
        </w:rPr>
        <w:lastRenderedPageBreak/>
        <w:t xml:space="preserve">organization aim has always to engage in transparent businesses and working with only those suppliers who meet the ethical standards. </w:t>
      </w:r>
    </w:p>
    <w:p w:rsidR="006C03D4" w:rsidRPr="009B6B5D" w:rsidRDefault="006C03D4" w:rsidP="006C03D4">
      <w:pPr>
        <w:spacing w:line="480" w:lineRule="auto"/>
        <w:ind w:firstLine="720"/>
        <w:rPr>
          <w:rFonts w:ascii="Times New Roman" w:hAnsi="Times New Roman" w:cs="Times New Roman"/>
          <w:sz w:val="24"/>
          <w:szCs w:val="24"/>
        </w:rPr>
      </w:pPr>
      <w:r w:rsidRPr="009B6B5D">
        <w:rPr>
          <w:rFonts w:ascii="Times New Roman" w:hAnsi="Times New Roman" w:cs="Times New Roman"/>
          <w:sz w:val="24"/>
          <w:szCs w:val="24"/>
        </w:rPr>
        <w:t xml:space="preserve">The company has performed well in CSR the recent analysis through its ESG report having met all the ethical set standards and operated within the set regulations and rules. It has also engaged in good deals and was ranked among the best companies by a study done by Harvard school. The CSR policies are adequate for a company with the potential to perform in the market. </w:t>
      </w:r>
    </w:p>
    <w:p w:rsidR="006C03D4" w:rsidRPr="009B6B5D" w:rsidRDefault="006C03D4" w:rsidP="009952EF">
      <w:pPr>
        <w:pStyle w:val="Heading1"/>
        <w:rPr>
          <w:rFonts w:ascii="Times New Roman" w:hAnsi="Times New Roman" w:cs="Times New Roman"/>
          <w:b/>
          <w:color w:val="auto"/>
          <w:sz w:val="24"/>
          <w:szCs w:val="24"/>
        </w:rPr>
      </w:pPr>
      <w:bookmarkStart w:id="3" w:name="_Toc6765978"/>
      <w:r w:rsidRPr="009B6B5D">
        <w:rPr>
          <w:rFonts w:ascii="Times New Roman" w:hAnsi="Times New Roman" w:cs="Times New Roman"/>
          <w:b/>
          <w:color w:val="auto"/>
          <w:sz w:val="24"/>
          <w:szCs w:val="24"/>
        </w:rPr>
        <w:t>How CSR is likely to Ensure Giordano Achieves realization Based on Perspectives of Various Shareholders</w:t>
      </w:r>
      <w:bookmarkEnd w:id="3"/>
    </w:p>
    <w:p w:rsidR="006C03D4" w:rsidRPr="009B6B5D" w:rsidRDefault="006C03D4" w:rsidP="006C03D4">
      <w:pPr>
        <w:spacing w:line="480" w:lineRule="auto"/>
        <w:ind w:firstLine="720"/>
        <w:rPr>
          <w:rFonts w:ascii="Times New Roman" w:hAnsi="Times New Roman" w:cs="Times New Roman"/>
          <w:sz w:val="24"/>
          <w:szCs w:val="24"/>
        </w:rPr>
      </w:pPr>
      <w:r w:rsidRPr="009B6B5D">
        <w:rPr>
          <w:rFonts w:ascii="Times New Roman" w:hAnsi="Times New Roman" w:cs="Times New Roman"/>
          <w:sz w:val="24"/>
          <w:szCs w:val="24"/>
        </w:rPr>
        <w:t>Giordano international is always committed to follow the CSR policies which have contributed significantly to the company success. The commitment to providing quality services has ensured the successful execution of multiple brands and presence in the many markets in the world. Today, the company holds the position among the top five cloth sellers in the Arab markets. The company is chosen by all ages and nationalities and has global acceptance for its unique brand.</w:t>
      </w:r>
    </w:p>
    <w:p w:rsidR="006C03D4" w:rsidRPr="009B6B5D" w:rsidRDefault="006C03D4" w:rsidP="006C03D4">
      <w:pPr>
        <w:spacing w:line="480" w:lineRule="auto"/>
        <w:ind w:firstLine="720"/>
        <w:rPr>
          <w:rFonts w:ascii="Times New Roman" w:hAnsi="Times New Roman" w:cs="Times New Roman"/>
          <w:sz w:val="24"/>
          <w:szCs w:val="24"/>
        </w:rPr>
      </w:pPr>
      <w:r w:rsidRPr="009B6B5D">
        <w:rPr>
          <w:rFonts w:ascii="Times New Roman" w:hAnsi="Times New Roman" w:cs="Times New Roman"/>
          <w:sz w:val="24"/>
          <w:szCs w:val="24"/>
        </w:rPr>
        <w:t xml:space="preserve">Additionally, through CSR policies the company has managed to have a system which is customer responsive with clear communication strategies and simplicity in their brand being their major strength in the entire business operations. Giordano’s brand has a philosophy of maintaining simplicity and is stylish. The styles are modern and designed to enhance the beauty in individuals through modern and timeless attires. It ensures that their clients use less for more and also acquire classic designs. Fashion industry requires that the company continuously adapts to the trends which raise production costs; however, Giordano has managed to develop a flexible approach that assures success to fashion retailing. </w:t>
      </w:r>
    </w:p>
    <w:p w:rsidR="006C03D4" w:rsidRPr="009B6B5D" w:rsidRDefault="006C03D4" w:rsidP="006C03D4">
      <w:pPr>
        <w:spacing w:line="480" w:lineRule="auto"/>
        <w:ind w:firstLine="720"/>
        <w:rPr>
          <w:rFonts w:ascii="Times New Roman" w:hAnsi="Times New Roman" w:cs="Times New Roman"/>
          <w:sz w:val="24"/>
          <w:szCs w:val="24"/>
        </w:rPr>
      </w:pPr>
      <w:r w:rsidRPr="009B6B5D">
        <w:rPr>
          <w:rFonts w:ascii="Times New Roman" w:hAnsi="Times New Roman" w:cs="Times New Roman"/>
          <w:sz w:val="24"/>
          <w:szCs w:val="24"/>
        </w:rPr>
        <w:lastRenderedPageBreak/>
        <w:t xml:space="preserve">The store sizes range from 1000- 2000 square feet while in some locations it has managed to open flagship stores that occupy more than 7,500 square feet. The customer reach is the company goal since the management understands that without clients then business objective cannot be achieved. Giordano presence in the Middle East has grown since its inception in 1993 now has over 240 stores totaling n twenty-three countries in the entire region. The company also took an initiative to launch other brands in the area including Giordano Junior to attract various market segments. The brand also has a USP that aims at providing customers with timeless, and quality products, the well-trained customers, also handle the clients with extraordinary services as well as ensuring customer accessibility through setting strategic locations. The company also has a competitive advantage in that it has managed to create emotional ties with the esteemed customers.  </w:t>
      </w:r>
    </w:p>
    <w:p w:rsidR="006C03D4" w:rsidRPr="009B6B5D" w:rsidRDefault="006C03D4" w:rsidP="006C03D4">
      <w:pPr>
        <w:spacing w:line="480" w:lineRule="auto"/>
        <w:ind w:firstLine="720"/>
        <w:rPr>
          <w:rFonts w:ascii="Times New Roman" w:hAnsi="Times New Roman" w:cs="Times New Roman"/>
          <w:sz w:val="24"/>
          <w:szCs w:val="24"/>
        </w:rPr>
      </w:pPr>
      <w:r w:rsidRPr="009B6B5D">
        <w:rPr>
          <w:rFonts w:ascii="Times New Roman" w:hAnsi="Times New Roman" w:cs="Times New Roman"/>
          <w:sz w:val="24"/>
          <w:szCs w:val="24"/>
        </w:rPr>
        <w:t xml:space="preserve">Additionally, several initiatives have been taken for the growth of Giordano. Some of them include improved interactions with the clients through reaching out via personal calls, emails and newsletters among others (Jiraporn et al., 2014). The company also gets helpful feedback from clients which ensures that they can improve on significant areas of concern. Use of the online real-time system is also another initiative the company has managed to utilize and link all its businesses on the global platform. The company had the system customized to its needs to ensure that information could be transmitted to facilitate buying, more sales and also make sure that all the other functions ran smoothly. The company also gets the opportunity of making informed decisions on the inventory and requirements (Unity, 2015). The management also gets a boost from the system since it can plan effectively and the implementation process becomes easy. Through inventory management system, all the retails and international markets are linked and ensures that actions can be taken immediately variances are realized from the </w:t>
      </w:r>
      <w:r w:rsidRPr="009B6B5D">
        <w:rPr>
          <w:rFonts w:ascii="Times New Roman" w:hAnsi="Times New Roman" w:cs="Times New Roman"/>
          <w:sz w:val="24"/>
          <w:szCs w:val="24"/>
        </w:rPr>
        <w:lastRenderedPageBreak/>
        <w:t xml:space="preserve">company standards which ensures resources are accounted for both in the regional stores and international markets. </w:t>
      </w:r>
    </w:p>
    <w:p w:rsidR="006C03D4" w:rsidRPr="009B6B5D" w:rsidRDefault="006C03D4" w:rsidP="006C03D4">
      <w:pPr>
        <w:spacing w:line="480" w:lineRule="auto"/>
        <w:ind w:firstLine="720"/>
        <w:rPr>
          <w:rFonts w:ascii="Times New Roman" w:hAnsi="Times New Roman" w:cs="Times New Roman"/>
          <w:sz w:val="24"/>
          <w:szCs w:val="24"/>
        </w:rPr>
      </w:pPr>
      <w:r w:rsidRPr="009B6B5D">
        <w:rPr>
          <w:rFonts w:ascii="Times New Roman" w:hAnsi="Times New Roman" w:cs="Times New Roman"/>
          <w:sz w:val="24"/>
          <w:szCs w:val="24"/>
        </w:rPr>
        <w:t>The simplicity of the brand satisfies the pleasures of fashion in Giordano products. They concentrate on the relevant, functional as well as essentiality. They assure the customers a good look and improved mood. The development team is always working on innovations that promise the differentiation of products and improved value to the clients. They ensure that they satisfy the demand of the markets and trends all over the world. Marketing of the brand is done at the stores mostly located in big malls, central business districts and other strategic places for accessibility to the buyers. Also, online marketing is done through the company’s website where effective communication with interested parties also happens (Crowther &amp; Seifi, 2018)</w:t>
      </w:r>
    </w:p>
    <w:p w:rsidR="006C03D4" w:rsidRPr="009B6B5D" w:rsidRDefault="006C03D4" w:rsidP="009952EF">
      <w:pPr>
        <w:pStyle w:val="Heading1"/>
        <w:rPr>
          <w:rFonts w:ascii="Times New Roman" w:hAnsi="Times New Roman" w:cs="Times New Roman"/>
          <w:b/>
          <w:color w:val="auto"/>
          <w:sz w:val="24"/>
          <w:szCs w:val="24"/>
        </w:rPr>
      </w:pPr>
      <w:bookmarkStart w:id="4" w:name="_Toc6765979"/>
      <w:r w:rsidRPr="009B6B5D">
        <w:rPr>
          <w:rFonts w:ascii="Times New Roman" w:hAnsi="Times New Roman" w:cs="Times New Roman"/>
          <w:b/>
          <w:color w:val="auto"/>
          <w:sz w:val="24"/>
          <w:szCs w:val="24"/>
        </w:rPr>
        <w:t>Triple Bottom Line Challenges and Advantages of Moving Manufacturing into Emerging Market</w:t>
      </w:r>
      <w:bookmarkEnd w:id="4"/>
    </w:p>
    <w:p w:rsidR="00C91EC0" w:rsidRPr="009B6B5D" w:rsidRDefault="00C91EC0" w:rsidP="009952EF">
      <w:pPr>
        <w:pStyle w:val="Heading2"/>
        <w:rPr>
          <w:rFonts w:ascii="Times New Roman" w:hAnsi="Times New Roman" w:cs="Times New Roman"/>
          <w:color w:val="auto"/>
          <w:sz w:val="24"/>
          <w:szCs w:val="24"/>
        </w:rPr>
      </w:pPr>
      <w:bookmarkStart w:id="5" w:name="_Toc6765980"/>
      <w:r w:rsidRPr="009B6B5D">
        <w:rPr>
          <w:rFonts w:ascii="Times New Roman" w:hAnsi="Times New Roman" w:cs="Times New Roman"/>
          <w:b/>
          <w:color w:val="auto"/>
          <w:sz w:val="24"/>
          <w:szCs w:val="24"/>
        </w:rPr>
        <w:t>Triple Bottom Line</w:t>
      </w:r>
      <w:r w:rsidR="0034317E" w:rsidRPr="009B6B5D">
        <w:rPr>
          <w:rFonts w:ascii="Times New Roman" w:hAnsi="Times New Roman" w:cs="Times New Roman"/>
          <w:b/>
          <w:color w:val="auto"/>
          <w:sz w:val="24"/>
          <w:szCs w:val="24"/>
        </w:rPr>
        <w:t xml:space="preserve"> Explained</w:t>
      </w:r>
      <w:bookmarkEnd w:id="5"/>
    </w:p>
    <w:p w:rsidR="00C91EC0" w:rsidRPr="009B6B5D" w:rsidRDefault="00C91EC0" w:rsidP="006C03D4">
      <w:pPr>
        <w:spacing w:line="480" w:lineRule="auto"/>
        <w:ind w:firstLine="720"/>
        <w:rPr>
          <w:rFonts w:ascii="Times New Roman" w:hAnsi="Times New Roman" w:cs="Times New Roman"/>
          <w:sz w:val="24"/>
          <w:szCs w:val="24"/>
        </w:rPr>
      </w:pPr>
      <w:r w:rsidRPr="009B6B5D">
        <w:rPr>
          <w:rFonts w:ascii="Times New Roman" w:hAnsi="Times New Roman" w:cs="Times New Roman"/>
          <w:sz w:val="24"/>
          <w:szCs w:val="24"/>
        </w:rPr>
        <w:t xml:space="preserve">As explained by John Elkington who invented it first in 1994, TBL has three Ps described as Profit, People and finally the Planet. Giordano should ensure it assesses its bottom lines to ensure success and growth in returns (Devika et al., 2014). Profit as many experts would explain is the main reason business operates. It is the bottom line of the economies of the corporation. Socially, Giordano should also measure its performance by looking at the People (Sarkis &amp; Dhavale, 2015). Again the environmental perspective comes in when the mention of Planet bottom line is mentioned. In simple terms, the triple bottom line can be considered to be the holistic evaluation of Giordano’s financial, environmental and economic goals measurement over time (Anderson et al., 2015). TBL ensures sustainability in major organizations having the vision of promoting more value to the societies they serve. TBL also aims at generating more </w:t>
      </w:r>
      <w:r w:rsidRPr="009B6B5D">
        <w:rPr>
          <w:rFonts w:ascii="Times New Roman" w:hAnsi="Times New Roman" w:cs="Times New Roman"/>
          <w:sz w:val="24"/>
          <w:szCs w:val="24"/>
        </w:rPr>
        <w:lastRenderedPageBreak/>
        <w:t>excellent shareholder value and assures growth (Alhaddi, 2015). It also fosters sustainable livelihoods to the people in the fashion industry supply chains.</w:t>
      </w:r>
    </w:p>
    <w:p w:rsidR="0034317E" w:rsidRPr="009B6B5D" w:rsidRDefault="0034317E" w:rsidP="009952EF">
      <w:pPr>
        <w:pStyle w:val="Heading2"/>
        <w:rPr>
          <w:rFonts w:ascii="Times New Roman" w:hAnsi="Times New Roman" w:cs="Times New Roman"/>
          <w:b/>
          <w:color w:val="auto"/>
          <w:sz w:val="24"/>
          <w:szCs w:val="24"/>
        </w:rPr>
      </w:pPr>
      <w:bookmarkStart w:id="6" w:name="_Toc6765981"/>
      <w:r w:rsidRPr="009B6B5D">
        <w:rPr>
          <w:rFonts w:ascii="Times New Roman" w:hAnsi="Times New Roman" w:cs="Times New Roman"/>
          <w:b/>
          <w:color w:val="auto"/>
          <w:sz w:val="24"/>
          <w:szCs w:val="24"/>
        </w:rPr>
        <w:t>Environmental Perspective</w:t>
      </w:r>
      <w:bookmarkEnd w:id="6"/>
    </w:p>
    <w:p w:rsidR="006C03D4" w:rsidRPr="009B6B5D" w:rsidRDefault="006C03D4" w:rsidP="006C03D4">
      <w:pPr>
        <w:spacing w:line="480" w:lineRule="auto"/>
        <w:ind w:firstLine="720"/>
        <w:rPr>
          <w:rFonts w:ascii="Times New Roman" w:hAnsi="Times New Roman" w:cs="Times New Roman"/>
          <w:sz w:val="24"/>
          <w:szCs w:val="24"/>
        </w:rPr>
      </w:pPr>
      <w:r w:rsidRPr="009B6B5D">
        <w:rPr>
          <w:rFonts w:ascii="Times New Roman" w:hAnsi="Times New Roman" w:cs="Times New Roman"/>
          <w:sz w:val="24"/>
          <w:szCs w:val="24"/>
        </w:rPr>
        <w:t xml:space="preserve">The fashion industry proves to be a good income generating avenue and accounts for about $2 trillion in the total world revenue. However, the industry also faces some challenges since it is ranked as one of leading in natural resource consumption as well as greenhouse gasses emissions. The pollution to the environment possesses significant threats to the environmental degradation which hinders its sustainability. The planet has limited resources that are nonrenewable. The industry utilizes the nonrenewable resources which result in environmental pollution. </w:t>
      </w:r>
    </w:p>
    <w:p w:rsidR="0034317E" w:rsidRPr="009B6B5D" w:rsidRDefault="0034317E" w:rsidP="00B01D49">
      <w:pPr>
        <w:pStyle w:val="Heading2"/>
        <w:rPr>
          <w:rFonts w:ascii="Times New Roman" w:hAnsi="Times New Roman" w:cs="Times New Roman"/>
          <w:b/>
          <w:color w:val="auto"/>
          <w:sz w:val="24"/>
          <w:szCs w:val="24"/>
        </w:rPr>
      </w:pPr>
      <w:bookmarkStart w:id="7" w:name="_Toc6765982"/>
      <w:r w:rsidRPr="009B6B5D">
        <w:rPr>
          <w:rFonts w:ascii="Times New Roman" w:hAnsi="Times New Roman" w:cs="Times New Roman"/>
          <w:b/>
          <w:color w:val="auto"/>
          <w:sz w:val="24"/>
          <w:szCs w:val="24"/>
        </w:rPr>
        <w:t>Economic Perspective</w:t>
      </w:r>
      <w:bookmarkEnd w:id="7"/>
    </w:p>
    <w:p w:rsidR="009952EF" w:rsidRPr="009B6B5D" w:rsidRDefault="006C03D4" w:rsidP="006C03D4">
      <w:pPr>
        <w:spacing w:line="480" w:lineRule="auto"/>
        <w:ind w:firstLine="720"/>
        <w:rPr>
          <w:rFonts w:ascii="Times New Roman" w:hAnsi="Times New Roman" w:cs="Times New Roman"/>
          <w:sz w:val="24"/>
          <w:szCs w:val="24"/>
        </w:rPr>
      </w:pPr>
      <w:r w:rsidRPr="009B6B5D">
        <w:rPr>
          <w:rFonts w:ascii="Times New Roman" w:hAnsi="Times New Roman" w:cs="Times New Roman"/>
          <w:sz w:val="24"/>
          <w:szCs w:val="24"/>
        </w:rPr>
        <w:t xml:space="preserve">Also in the past, there have been cases of underrepresentation of workers in the negotiations with the company management. Cases were reported whereby some workers reported not to be involved in the decision making of many companies. Giordano needs to ensure that workers have platforms whereby they can raise essential suggestions which can generate growth for the company. </w:t>
      </w:r>
      <w:r w:rsidR="009952EF" w:rsidRPr="009B6B5D">
        <w:rPr>
          <w:rFonts w:ascii="Times New Roman" w:hAnsi="Times New Roman" w:cs="Times New Roman"/>
          <w:sz w:val="24"/>
          <w:szCs w:val="24"/>
        </w:rPr>
        <w:t>The supply chain ranges from the production of the raw materials utilized by the company to the disposal of clothing which response quite well to the sustainable problems in the process (Glavas &amp; Mish, 2015).</w:t>
      </w:r>
    </w:p>
    <w:p w:rsidR="009952EF" w:rsidRPr="009B6B5D" w:rsidRDefault="009952EF" w:rsidP="00B01D49">
      <w:pPr>
        <w:pStyle w:val="Heading2"/>
        <w:rPr>
          <w:rFonts w:ascii="Times New Roman" w:hAnsi="Times New Roman" w:cs="Times New Roman"/>
          <w:b/>
          <w:color w:val="auto"/>
          <w:sz w:val="24"/>
          <w:szCs w:val="24"/>
        </w:rPr>
      </w:pPr>
      <w:bookmarkStart w:id="8" w:name="_Toc6765983"/>
      <w:r w:rsidRPr="009B6B5D">
        <w:rPr>
          <w:rFonts w:ascii="Times New Roman" w:hAnsi="Times New Roman" w:cs="Times New Roman"/>
          <w:b/>
          <w:color w:val="auto"/>
          <w:sz w:val="24"/>
          <w:szCs w:val="24"/>
        </w:rPr>
        <w:t>Social Perspective</w:t>
      </w:r>
      <w:bookmarkEnd w:id="8"/>
    </w:p>
    <w:p w:rsidR="0034317E" w:rsidRPr="009B6B5D" w:rsidRDefault="006C03D4" w:rsidP="006C03D4">
      <w:pPr>
        <w:spacing w:line="480" w:lineRule="auto"/>
        <w:ind w:firstLine="720"/>
        <w:rPr>
          <w:rFonts w:ascii="Times New Roman" w:hAnsi="Times New Roman" w:cs="Times New Roman"/>
          <w:sz w:val="24"/>
          <w:szCs w:val="24"/>
        </w:rPr>
      </w:pPr>
      <w:r w:rsidRPr="009B6B5D">
        <w:rPr>
          <w:rFonts w:ascii="Times New Roman" w:hAnsi="Times New Roman" w:cs="Times New Roman"/>
          <w:sz w:val="24"/>
          <w:szCs w:val="24"/>
        </w:rPr>
        <w:t xml:space="preserve">The trend poses severe social sustainability challenges that need to be addressed to ensure business success (Jia et al., 2015). Good news is that the industrial activities in the recent past have guaranteed an excellent response to the sustainability challenges which is a top trend to ensuring growth and organizational commitment to sustainable practices. That means that even if there are considerable amounts of social, environmental and economic challenges resulting from </w:t>
      </w:r>
      <w:r w:rsidRPr="009B6B5D">
        <w:rPr>
          <w:rFonts w:ascii="Times New Roman" w:hAnsi="Times New Roman" w:cs="Times New Roman"/>
          <w:sz w:val="24"/>
          <w:szCs w:val="24"/>
        </w:rPr>
        <w:lastRenderedPageBreak/>
        <w:t xml:space="preserve">the activities in the fashion industry and its supply chain, there is a chance that in the future there could be a paradigm shift in the sustainability and the emphasis on the TBL seems to be gaining its power (Godart &amp; Seong, 2015). The objectives of the collections in the new markets ensure advances in the knowledge related to the ongoing sustainability problems in the global fashion industry supply chain and demand new initiatives and broader perspectives in the sector to ensure growth in sustainability as well as the triple bottom line (Garcia-Torres et al., 2017). </w:t>
      </w:r>
    </w:p>
    <w:p w:rsidR="0034317E" w:rsidRPr="009B6B5D" w:rsidRDefault="0034317E" w:rsidP="00B01D49">
      <w:pPr>
        <w:pStyle w:val="Heading2"/>
        <w:rPr>
          <w:rFonts w:ascii="Times New Roman" w:hAnsi="Times New Roman" w:cs="Times New Roman"/>
          <w:b/>
          <w:color w:val="auto"/>
          <w:sz w:val="24"/>
          <w:szCs w:val="24"/>
        </w:rPr>
      </w:pPr>
      <w:bookmarkStart w:id="9" w:name="_Toc6765984"/>
      <w:r w:rsidRPr="009B6B5D">
        <w:rPr>
          <w:rFonts w:ascii="Times New Roman" w:hAnsi="Times New Roman" w:cs="Times New Roman"/>
          <w:b/>
          <w:color w:val="auto"/>
          <w:sz w:val="24"/>
          <w:szCs w:val="24"/>
        </w:rPr>
        <w:t>Advantages</w:t>
      </w:r>
      <w:bookmarkEnd w:id="9"/>
    </w:p>
    <w:p w:rsidR="006C03D4" w:rsidRPr="009B6B5D" w:rsidRDefault="009952EF" w:rsidP="006C03D4">
      <w:pPr>
        <w:spacing w:line="480" w:lineRule="auto"/>
        <w:ind w:firstLine="720"/>
        <w:rPr>
          <w:rFonts w:ascii="Times New Roman" w:hAnsi="Times New Roman" w:cs="Times New Roman"/>
          <w:sz w:val="24"/>
          <w:szCs w:val="24"/>
        </w:rPr>
      </w:pPr>
      <w:r w:rsidRPr="009B6B5D">
        <w:rPr>
          <w:rFonts w:ascii="Times New Roman" w:hAnsi="Times New Roman" w:cs="Times New Roman"/>
          <w:sz w:val="24"/>
          <w:szCs w:val="24"/>
        </w:rPr>
        <w:t xml:space="preserve">Triple Bottom Line also has advantages when it comes to the company venturing into the new markets and having a global presence. </w:t>
      </w:r>
      <w:r w:rsidR="006C03D4" w:rsidRPr="009B6B5D">
        <w:rPr>
          <w:rFonts w:ascii="Times New Roman" w:hAnsi="Times New Roman" w:cs="Times New Roman"/>
          <w:sz w:val="24"/>
          <w:szCs w:val="24"/>
        </w:rPr>
        <w:t xml:space="preserve">One position of Triple Bottom advantage of moving to manufacture into merging market is that consumers are allowed to enjoy and exercise creativity (Wise, 2016). It is essential for a market to have sustainability within the industry, and this can be improved by focusing on comprehending the behavior aspects of the consumer of the triple bottom line concerning a significant scope of the clothing and textiles industry (Onat et al., 2014). Upon creativity in the organization, consumers can apply different models that are related to product-services to enhance as a means for promoting sustainable apparel practices among consumers who seek to promote sustainable practices (Park &amp; Kim, 2016).  Another advantage is seen in the relationship that occurs through some specific ways of analyzing the habits that consumers adopt different maintainable retail models (Rambaud &amp; Richard, 2015). Some of the methods that are used by consumers to analyze are swapping and renting clothing, clothing alteration and repair, the purchase of redesigned clothing and the sale of unique fashions. As a result, consumers’ activities can increase creativity as well as a positive inﬂuence on implementing those mentioned above maintainable retail methods (Weiss et al., 2014). Besides, another Triple Bottom advantage of moving to manufacture into the merging market is that it increases product longevity (Ahi &amp; Searcy, 2015). The consumers who support creative choices </w:t>
      </w:r>
      <w:r w:rsidR="006C03D4" w:rsidRPr="009B6B5D">
        <w:rPr>
          <w:rFonts w:ascii="Times New Roman" w:hAnsi="Times New Roman" w:cs="Times New Roman"/>
          <w:sz w:val="24"/>
          <w:szCs w:val="24"/>
        </w:rPr>
        <w:lastRenderedPageBreak/>
        <w:t>upon making critical decisions are usually likely to buy distinctive goods and services which are typically restructured from past materials. As a result, a new market strategy which is governed by a retail market is developed. This encourages customers, and at the same time, it improves in critical decision making upon purchasing.</w:t>
      </w:r>
    </w:p>
    <w:p w:rsidR="00B01D49" w:rsidRPr="009B6B5D" w:rsidRDefault="00B01D49" w:rsidP="009B6B5D">
      <w:pPr>
        <w:pStyle w:val="Heading2"/>
        <w:rPr>
          <w:rFonts w:ascii="Times New Roman" w:hAnsi="Times New Roman" w:cs="Times New Roman"/>
          <w:b/>
          <w:color w:val="auto"/>
          <w:sz w:val="24"/>
          <w:szCs w:val="24"/>
        </w:rPr>
      </w:pPr>
      <w:bookmarkStart w:id="10" w:name="_Toc6765985"/>
      <w:r w:rsidRPr="009B6B5D">
        <w:rPr>
          <w:rFonts w:ascii="Times New Roman" w:hAnsi="Times New Roman" w:cs="Times New Roman"/>
          <w:b/>
          <w:color w:val="auto"/>
          <w:sz w:val="24"/>
          <w:szCs w:val="24"/>
        </w:rPr>
        <w:t>Disadvantages</w:t>
      </w:r>
      <w:bookmarkEnd w:id="10"/>
    </w:p>
    <w:p w:rsidR="00B01D49" w:rsidRPr="009B6B5D" w:rsidRDefault="00B01D49" w:rsidP="00B01D49">
      <w:pPr>
        <w:spacing w:line="480" w:lineRule="auto"/>
        <w:ind w:firstLine="720"/>
        <w:rPr>
          <w:rFonts w:ascii="Times New Roman" w:hAnsi="Times New Roman" w:cs="Times New Roman"/>
          <w:sz w:val="24"/>
          <w:szCs w:val="24"/>
        </w:rPr>
      </w:pPr>
      <w:r w:rsidRPr="009B6B5D">
        <w:rPr>
          <w:rFonts w:ascii="Times New Roman" w:hAnsi="Times New Roman" w:cs="Times New Roman"/>
          <w:sz w:val="24"/>
          <w:szCs w:val="24"/>
        </w:rPr>
        <w:t>There is the existence of essential implications that occur concerning the TBL movement in the context of the supply chain. A good example is a positivity which is happened by brand image, as well as different brands. Also, the industry also poses human rights issues in the production process which includes the clothing and textiles that range from forced to child labor, minimal wages to the workers, unpaid overtime and excess working hours, safety as well as health hazards. However, it is evident that environmental sustainability fails to show and predict brand outcomes for both fashion brands which are fast and sustainable fast fashion brands or sustainable brands meaning that inﬂuential enough (Pal, 2017).</w:t>
      </w:r>
    </w:p>
    <w:p w:rsidR="00B01D49" w:rsidRPr="009B6B5D" w:rsidRDefault="00B01D49" w:rsidP="00B01D49">
      <w:pPr>
        <w:spacing w:line="480" w:lineRule="auto"/>
        <w:rPr>
          <w:rFonts w:ascii="Times New Roman" w:hAnsi="Times New Roman" w:cs="Times New Roman"/>
          <w:sz w:val="24"/>
          <w:szCs w:val="24"/>
        </w:rPr>
      </w:pPr>
    </w:p>
    <w:p w:rsidR="009952EF" w:rsidRPr="009B6B5D" w:rsidRDefault="009952EF" w:rsidP="00B01D49">
      <w:pPr>
        <w:pStyle w:val="Heading2"/>
        <w:rPr>
          <w:rFonts w:ascii="Times New Roman" w:hAnsi="Times New Roman" w:cs="Times New Roman"/>
          <w:b/>
          <w:color w:val="auto"/>
          <w:sz w:val="24"/>
          <w:szCs w:val="24"/>
        </w:rPr>
      </w:pPr>
      <w:bookmarkStart w:id="11" w:name="_Toc6765986"/>
      <w:r w:rsidRPr="009B6B5D">
        <w:rPr>
          <w:rFonts w:ascii="Times New Roman" w:hAnsi="Times New Roman" w:cs="Times New Roman"/>
          <w:b/>
          <w:color w:val="auto"/>
          <w:sz w:val="24"/>
          <w:szCs w:val="24"/>
        </w:rPr>
        <w:t>Ethical Perspective</w:t>
      </w:r>
      <w:bookmarkEnd w:id="11"/>
    </w:p>
    <w:p w:rsidR="006C03D4" w:rsidRPr="009B6B5D" w:rsidRDefault="006C03D4" w:rsidP="006C03D4">
      <w:pPr>
        <w:spacing w:line="480" w:lineRule="auto"/>
        <w:ind w:firstLine="720"/>
        <w:rPr>
          <w:rFonts w:ascii="Times New Roman" w:hAnsi="Times New Roman" w:cs="Times New Roman"/>
          <w:sz w:val="24"/>
          <w:szCs w:val="24"/>
        </w:rPr>
      </w:pPr>
      <w:r w:rsidRPr="009B6B5D">
        <w:rPr>
          <w:rFonts w:ascii="Times New Roman" w:hAnsi="Times New Roman" w:cs="Times New Roman"/>
          <w:sz w:val="24"/>
          <w:szCs w:val="24"/>
        </w:rPr>
        <w:t xml:space="preserve">The occurrence of an essential relationship between consumers and moral norms influences ethical decisions. Ethical decisions also affect the retail of different brands involved in financial responsibility (Wilson, 2015). This relationship is critical since it influences the process of decision making for the case of consumers. Moral, subjective norms, as well as attitudes, are fundamental forecasters as far as the willingness of the consumers towards supporting different brands which are involved in activities that affect the corporate social responsibility are concerned (Li et al, 2015).  </w:t>
      </w:r>
    </w:p>
    <w:p w:rsidR="0034317E" w:rsidRPr="009B6B5D" w:rsidRDefault="0034317E" w:rsidP="00B01D49">
      <w:pPr>
        <w:pStyle w:val="Heading2"/>
        <w:rPr>
          <w:rFonts w:ascii="Times New Roman" w:hAnsi="Times New Roman" w:cs="Times New Roman"/>
          <w:b/>
          <w:color w:val="auto"/>
          <w:sz w:val="24"/>
          <w:szCs w:val="24"/>
        </w:rPr>
      </w:pPr>
      <w:bookmarkStart w:id="12" w:name="_Toc6765987"/>
      <w:r w:rsidRPr="009B6B5D">
        <w:rPr>
          <w:rFonts w:ascii="Times New Roman" w:hAnsi="Times New Roman" w:cs="Times New Roman"/>
          <w:b/>
          <w:color w:val="auto"/>
          <w:sz w:val="24"/>
          <w:szCs w:val="24"/>
        </w:rPr>
        <w:lastRenderedPageBreak/>
        <w:t>Impacts on an Emerging Market</w:t>
      </w:r>
      <w:bookmarkEnd w:id="12"/>
    </w:p>
    <w:p w:rsidR="00B01D49" w:rsidRPr="009B6B5D" w:rsidRDefault="006C03D4" w:rsidP="006C03D4">
      <w:pPr>
        <w:spacing w:line="480" w:lineRule="auto"/>
        <w:ind w:firstLine="720"/>
        <w:rPr>
          <w:rFonts w:ascii="Times New Roman" w:hAnsi="Times New Roman" w:cs="Times New Roman"/>
          <w:sz w:val="24"/>
          <w:szCs w:val="24"/>
        </w:rPr>
      </w:pPr>
      <w:r w:rsidRPr="009B6B5D">
        <w:rPr>
          <w:rFonts w:ascii="Times New Roman" w:hAnsi="Times New Roman" w:cs="Times New Roman"/>
          <w:sz w:val="24"/>
          <w:szCs w:val="24"/>
        </w:rPr>
        <w:t>Organizations in the modern world are likely to be governed by competition and retail marketplaces that have been over-saturated in the scope of corporate sustainability responsibilities within the context of platforms that promote marketing (Na et al.</w:t>
      </w:r>
      <w:r w:rsidR="0034317E" w:rsidRPr="009B6B5D">
        <w:rPr>
          <w:rFonts w:ascii="Times New Roman" w:hAnsi="Times New Roman" w:cs="Times New Roman"/>
          <w:sz w:val="24"/>
          <w:szCs w:val="24"/>
        </w:rPr>
        <w:t>, 2014</w:t>
      </w:r>
      <w:r w:rsidRPr="009B6B5D">
        <w:rPr>
          <w:rFonts w:ascii="Times New Roman" w:hAnsi="Times New Roman" w:cs="Times New Roman"/>
          <w:sz w:val="24"/>
          <w:szCs w:val="24"/>
        </w:rPr>
        <w:t xml:space="preserve">).  For the case of fast fashion, it is evident that there was the presence of a high connection between environmental and social dimensions concerning the triple bottom line (TBL) model (Henninger et al., 2015). On the same note, this model is a fundamental tool that can be used to assess the perceptions of consumers as far as sustainability in fashion products is concerned. For the case of professionals on the industry, the TBL model which was established and verified seems to be very practical in the assessment of fashion products sustainability for consumers (Winter &amp; Lasch, 2016). </w:t>
      </w:r>
    </w:p>
    <w:p w:rsidR="00B01D49" w:rsidRPr="009B6B5D" w:rsidRDefault="00B01D49" w:rsidP="006C03D4">
      <w:pPr>
        <w:spacing w:line="480" w:lineRule="auto"/>
        <w:ind w:firstLine="720"/>
        <w:rPr>
          <w:rFonts w:ascii="Times New Roman" w:hAnsi="Times New Roman" w:cs="Times New Roman"/>
          <w:sz w:val="24"/>
          <w:szCs w:val="24"/>
        </w:rPr>
      </w:pPr>
    </w:p>
    <w:p w:rsidR="006C03D4" w:rsidRPr="009B6B5D" w:rsidRDefault="006C03D4" w:rsidP="006C03D4">
      <w:pPr>
        <w:spacing w:line="480" w:lineRule="auto"/>
        <w:ind w:firstLine="720"/>
        <w:rPr>
          <w:rFonts w:ascii="Times New Roman" w:hAnsi="Times New Roman" w:cs="Times New Roman"/>
          <w:sz w:val="24"/>
          <w:szCs w:val="24"/>
        </w:rPr>
      </w:pPr>
    </w:p>
    <w:p w:rsidR="006C03D4" w:rsidRPr="009B6B5D" w:rsidRDefault="006C03D4" w:rsidP="00B01D49">
      <w:pPr>
        <w:pStyle w:val="Heading1"/>
        <w:rPr>
          <w:rFonts w:ascii="Times New Roman" w:hAnsi="Times New Roman" w:cs="Times New Roman"/>
          <w:b/>
          <w:color w:val="auto"/>
          <w:sz w:val="24"/>
          <w:szCs w:val="24"/>
        </w:rPr>
      </w:pPr>
      <w:bookmarkStart w:id="13" w:name="_Toc6765988"/>
      <w:r w:rsidRPr="009B6B5D">
        <w:rPr>
          <w:rFonts w:ascii="Times New Roman" w:hAnsi="Times New Roman" w:cs="Times New Roman"/>
          <w:b/>
          <w:color w:val="auto"/>
          <w:sz w:val="24"/>
          <w:szCs w:val="24"/>
        </w:rPr>
        <w:t>Decision and Recommendations</w:t>
      </w:r>
      <w:bookmarkEnd w:id="13"/>
    </w:p>
    <w:p w:rsidR="006C03D4" w:rsidRPr="009B6B5D" w:rsidRDefault="006C03D4" w:rsidP="006C03D4">
      <w:pPr>
        <w:spacing w:line="480" w:lineRule="auto"/>
        <w:ind w:firstLine="720"/>
        <w:rPr>
          <w:rFonts w:ascii="Times New Roman" w:hAnsi="Times New Roman" w:cs="Times New Roman"/>
          <w:sz w:val="24"/>
          <w:szCs w:val="24"/>
        </w:rPr>
      </w:pPr>
      <w:r w:rsidRPr="009B6B5D">
        <w:rPr>
          <w:rFonts w:ascii="Times New Roman" w:hAnsi="Times New Roman" w:cs="Times New Roman"/>
          <w:sz w:val="24"/>
          <w:szCs w:val="24"/>
        </w:rPr>
        <w:t>Based on the proposal by the Finance Director in venturing a new market, Giordano international should consider hiring back-office facilities. In any business, the entrepreneurs need to have the right expertise to handle the business for them to achieve success. However, sometimes specific tasks such as accounting and back-office services may prove to be overwhelming to the investor (Chin et al., 2015). These services are essential in helping to keep track of the business performance at any time and generating more revenue. When work becomes a bit overwhelming, it is advisable to consider outsourcing services such as accounting. Outsourcing is beneficial as it is less costly compared to having a permanent team of experts in a wholly owned production. The strategy can ensure increased returns to the shareholders.</w:t>
      </w:r>
    </w:p>
    <w:p w:rsidR="006C03D4" w:rsidRPr="009B6B5D" w:rsidRDefault="006C03D4" w:rsidP="006C03D4">
      <w:pPr>
        <w:spacing w:line="480" w:lineRule="auto"/>
        <w:ind w:firstLine="720"/>
        <w:rPr>
          <w:rFonts w:ascii="Times New Roman" w:hAnsi="Times New Roman" w:cs="Times New Roman"/>
          <w:sz w:val="24"/>
          <w:szCs w:val="24"/>
        </w:rPr>
      </w:pPr>
      <w:r w:rsidRPr="009B6B5D">
        <w:rPr>
          <w:rFonts w:ascii="Times New Roman" w:hAnsi="Times New Roman" w:cs="Times New Roman"/>
          <w:sz w:val="24"/>
          <w:szCs w:val="24"/>
        </w:rPr>
        <w:lastRenderedPageBreak/>
        <w:t>Gordano international should ensure it upholds supplier audits at every level of production. Supplier audits are significant for any company due to some reasons. Examinations encourage suppliers to enhance their work operations continually and give a new drive every time they are done (No &amp; Fasanvej, 2015). Also, it promotes the company to ensure it possesses the right documents and offers the best practices due to the knowledge that the ratings are based on the factors. Buyers who pay attention to the progress of the company after every auditing may be interested in investing in them on learning they have an improving trend hence the growth in the business (Helin &amp; Babri, 2015). Supplier audits also add a competitive edge for the companies and consequently giving buyers the best products (Hajmohammad &amp; Vachon, 2016).  It also improves the company’s credibility since it shows that it has the will remain committed to being the best for its customers (Kashmanian &amp; Moore, 2014)</w:t>
      </w:r>
    </w:p>
    <w:p w:rsidR="006C03D4" w:rsidRPr="009B6B5D" w:rsidRDefault="006C03D4" w:rsidP="006C03D4">
      <w:pPr>
        <w:spacing w:line="480" w:lineRule="auto"/>
        <w:ind w:firstLine="720"/>
        <w:rPr>
          <w:rFonts w:ascii="Times New Roman" w:hAnsi="Times New Roman" w:cs="Times New Roman"/>
          <w:sz w:val="24"/>
          <w:szCs w:val="24"/>
        </w:rPr>
      </w:pPr>
      <w:r w:rsidRPr="009B6B5D">
        <w:rPr>
          <w:rFonts w:ascii="Times New Roman" w:hAnsi="Times New Roman" w:cs="Times New Roman"/>
          <w:sz w:val="24"/>
          <w:szCs w:val="24"/>
        </w:rPr>
        <w:t xml:space="preserve">Auditing has its challenges in both internal and external consultancy. In the external setup, clients come with limited budgets and at the same time have high expectations while in internal audits, there all types of politics that may pose as barriers for the completion of tasks. The lack of communication is a significant obstacle to the job (Andon et al., 2015). Trying to get answers from employees who do not understand the scope of the responsibility is less helpful to the point of hostility. Avoiding this fix would require that the auditor avoids techno-babble as it only leads to more confusion and building a good relationship with the IT staff and security to get resources needed for the audit (Grosvold et al., 2014). Another audit challenge is that it is scope creep costly in terms of money and time consumption. An auditor may occasionally find themselves spend much of their time on tasks out of their range which can make the process expensive for both the organization and auditor. A recommendation for this would be a clear definition of scope and trying to stick to it at all times. </w:t>
      </w:r>
    </w:p>
    <w:p w:rsidR="006C03D4" w:rsidRPr="009B6B5D" w:rsidRDefault="006C03D4" w:rsidP="006C03D4">
      <w:pPr>
        <w:spacing w:line="480" w:lineRule="auto"/>
        <w:ind w:firstLine="720"/>
        <w:rPr>
          <w:rFonts w:ascii="Times New Roman" w:hAnsi="Times New Roman" w:cs="Times New Roman"/>
          <w:sz w:val="24"/>
          <w:szCs w:val="24"/>
        </w:rPr>
      </w:pPr>
      <w:r w:rsidRPr="009B6B5D">
        <w:rPr>
          <w:rFonts w:ascii="Times New Roman" w:hAnsi="Times New Roman" w:cs="Times New Roman"/>
          <w:sz w:val="24"/>
          <w:szCs w:val="24"/>
        </w:rPr>
        <w:lastRenderedPageBreak/>
        <w:t xml:space="preserve">It is the responsibility of Gordano in ensuring ethical conduct to its suppliers. Companies depend on the suppliers for vital resources required in the manufacturing process of their products (Wilhelm et al., 2016). It is the responsibility of the purchasing organization to see to it that the materials they order from the suppliers are inspected for safety and have met the manufacturing standards of their organization. They should ensure the products have sanitary working conditions (Foerstl, 2015). Sometimes the company may decide to purchase some parts of the product from a supplier, but in case of any damages happening from the faulty equipment, the customer would hold them responsible. One such example would be an instance where HP Company had to publicize a battery recall process when in two cases the batteries were faulty, overheated and resulted in a fire that caused property loss (LeBaron et al., 2017). Although HP purchased the said batteries from their earlier trusted supplier, the customers claimed responsibility for the damages on them since the fault came from their supply chain. Negligence in inspecting the supply chain can cause tainting the brand name if the costs happen from the product (Gonzalez-Padron, 2016). </w:t>
      </w:r>
    </w:p>
    <w:p w:rsidR="006C03D4" w:rsidRPr="009B6B5D" w:rsidRDefault="006C03D4" w:rsidP="006C03D4">
      <w:pPr>
        <w:spacing w:line="480" w:lineRule="auto"/>
        <w:ind w:firstLine="720"/>
        <w:rPr>
          <w:rFonts w:ascii="Times New Roman" w:hAnsi="Times New Roman" w:cs="Times New Roman"/>
          <w:sz w:val="24"/>
          <w:szCs w:val="24"/>
        </w:rPr>
      </w:pPr>
      <w:r w:rsidRPr="009B6B5D">
        <w:rPr>
          <w:rFonts w:ascii="Times New Roman" w:hAnsi="Times New Roman" w:cs="Times New Roman"/>
          <w:sz w:val="24"/>
          <w:szCs w:val="24"/>
        </w:rPr>
        <w:t xml:space="preserve">Additionally, Giordano should ensure it acts ethically. There are advantages of behaving ethically for every company. First, it helps in building customer loyalty. Any customer would like to feel that they have received fair deals for them to become repeat clients. Advantages of having loyal customers to an organization cannot be underestimated since they bring overall growth and reduce marketing costs. Again, a company having an ethical behavior reputation in the market can result in increased customer base through the attraction of new customers and referrals. Creation of the image of ethical behavior can also result in the retention of talented employees (Gonzalez-Padron, 2016). If the workers feel that career advancement within the company is fair and there is the communication of the progress to all, they are likely to consider </w:t>
      </w:r>
      <w:r w:rsidRPr="009B6B5D">
        <w:rPr>
          <w:rFonts w:ascii="Times New Roman" w:hAnsi="Times New Roman" w:cs="Times New Roman"/>
          <w:sz w:val="24"/>
          <w:szCs w:val="24"/>
        </w:rPr>
        <w:lastRenderedPageBreak/>
        <w:t>being dedicated to accomplishing their goals in such organizations. It also helps in enhancing a positive work environment by encouraging employee honesty and positive relationships in the workplace.</w:t>
      </w:r>
    </w:p>
    <w:p w:rsidR="006C03D4" w:rsidRPr="009B6B5D" w:rsidRDefault="006C03D4" w:rsidP="006C03D4">
      <w:pPr>
        <w:spacing w:line="480" w:lineRule="auto"/>
        <w:ind w:firstLine="720"/>
        <w:rPr>
          <w:rFonts w:ascii="Times New Roman" w:hAnsi="Times New Roman" w:cs="Times New Roman"/>
          <w:sz w:val="24"/>
          <w:szCs w:val="24"/>
        </w:rPr>
      </w:pPr>
      <w:r w:rsidRPr="009B6B5D">
        <w:rPr>
          <w:rFonts w:ascii="Times New Roman" w:hAnsi="Times New Roman" w:cs="Times New Roman"/>
          <w:sz w:val="24"/>
          <w:szCs w:val="24"/>
        </w:rPr>
        <w:t>In summation, Giordano seems to have the potential of even gaining more success in the fashion industry following the current trends. Improvement of few areas in supplier audits and sustainability can amount to great success. There are several ways however of a company to ensure it minimizes the supplier risks. Implementation of case management solutions is critical since it improves communication in the supply chain. It makes it easier for the filing of cases such as defective equipment shipments among other risks.  Ethical behavior is also critical in ensuring customer trust and success. The company should ensure the workers are ethical and operates within the standards as well as the rules of the business.</w:t>
      </w:r>
    </w:p>
    <w:p w:rsidR="006C03D4" w:rsidRPr="009B6B5D" w:rsidRDefault="006C03D4" w:rsidP="006C03D4">
      <w:pPr>
        <w:spacing w:line="480" w:lineRule="auto"/>
        <w:rPr>
          <w:rFonts w:ascii="Times New Roman" w:hAnsi="Times New Roman" w:cs="Times New Roman"/>
          <w:sz w:val="24"/>
          <w:szCs w:val="24"/>
        </w:rPr>
      </w:pPr>
      <w:r w:rsidRPr="009B6B5D">
        <w:rPr>
          <w:rFonts w:ascii="Times New Roman" w:hAnsi="Times New Roman" w:cs="Times New Roman"/>
          <w:sz w:val="24"/>
          <w:szCs w:val="24"/>
        </w:rPr>
        <w:br w:type="page"/>
      </w:r>
    </w:p>
    <w:p w:rsidR="006C03D4" w:rsidRPr="009B6B5D" w:rsidRDefault="006C03D4" w:rsidP="00B01D49">
      <w:pPr>
        <w:pStyle w:val="Heading1"/>
        <w:rPr>
          <w:rFonts w:ascii="Times New Roman" w:hAnsi="Times New Roman" w:cs="Times New Roman"/>
          <w:b/>
          <w:color w:val="auto"/>
          <w:sz w:val="24"/>
          <w:szCs w:val="24"/>
        </w:rPr>
      </w:pPr>
      <w:bookmarkStart w:id="14" w:name="_Toc6765989"/>
      <w:r w:rsidRPr="009B6B5D">
        <w:rPr>
          <w:rFonts w:ascii="Times New Roman" w:hAnsi="Times New Roman" w:cs="Times New Roman"/>
          <w:b/>
          <w:color w:val="auto"/>
          <w:sz w:val="24"/>
          <w:szCs w:val="24"/>
        </w:rPr>
        <w:lastRenderedPageBreak/>
        <w:t>References</w:t>
      </w:r>
      <w:bookmarkEnd w:id="14"/>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Ahi, P., &amp; Searcy, C. (2015). Assessing sustainability in the supply chain: A triple bottom line approach. </w:t>
      </w:r>
      <w:r w:rsidRPr="009B6B5D">
        <w:rPr>
          <w:rFonts w:ascii="Times New Roman" w:hAnsi="Times New Roman" w:cs="Times New Roman"/>
          <w:i/>
          <w:iCs/>
          <w:sz w:val="24"/>
          <w:szCs w:val="24"/>
          <w:shd w:val="clear" w:color="auto" w:fill="FFFFFF"/>
        </w:rPr>
        <w:t>Applied Mathematical Modelling</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39</w:t>
      </w:r>
      <w:r w:rsidRPr="009B6B5D">
        <w:rPr>
          <w:rFonts w:ascii="Times New Roman" w:hAnsi="Times New Roman" w:cs="Times New Roman"/>
          <w:sz w:val="24"/>
          <w:szCs w:val="24"/>
          <w:shd w:val="clear" w:color="auto" w:fill="FFFFFF"/>
        </w:rPr>
        <w:t>(10-11), 2882-2896.</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Alhaddi, H. (2015). Triple bottom line and sustainability: A literature review. </w:t>
      </w:r>
      <w:r w:rsidRPr="009B6B5D">
        <w:rPr>
          <w:rFonts w:ascii="Times New Roman" w:hAnsi="Times New Roman" w:cs="Times New Roman"/>
          <w:i/>
          <w:iCs/>
          <w:sz w:val="24"/>
          <w:szCs w:val="24"/>
          <w:shd w:val="clear" w:color="auto" w:fill="FFFFFF"/>
        </w:rPr>
        <w:t>Business and Management Studies</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1</w:t>
      </w:r>
      <w:r w:rsidRPr="009B6B5D">
        <w:rPr>
          <w:rFonts w:ascii="Times New Roman" w:hAnsi="Times New Roman" w:cs="Times New Roman"/>
          <w:sz w:val="24"/>
          <w:szCs w:val="24"/>
          <w:shd w:val="clear" w:color="auto" w:fill="FFFFFF"/>
        </w:rPr>
        <w:t>(2), 6-10.</w:t>
      </w:r>
      <w:bookmarkStart w:id="15" w:name="_GoBack"/>
      <w:bookmarkEnd w:id="15"/>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Anderson, J. L., Anderson, C. M., Chu, J., Meredith, J., Asche, F., Sylvia, G., ... &amp; McCluney, J. K. (2015). The fishery performance indicators: A management tool for triple bottom line outcomes. </w:t>
      </w:r>
      <w:r w:rsidRPr="009B6B5D">
        <w:rPr>
          <w:rFonts w:ascii="Times New Roman" w:hAnsi="Times New Roman" w:cs="Times New Roman"/>
          <w:i/>
          <w:iCs/>
          <w:sz w:val="24"/>
          <w:szCs w:val="24"/>
          <w:shd w:val="clear" w:color="auto" w:fill="FFFFFF"/>
        </w:rPr>
        <w:t>PLoS One</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10</w:t>
      </w:r>
      <w:r w:rsidRPr="009B6B5D">
        <w:rPr>
          <w:rFonts w:ascii="Times New Roman" w:hAnsi="Times New Roman" w:cs="Times New Roman"/>
          <w:sz w:val="24"/>
          <w:szCs w:val="24"/>
          <w:shd w:val="clear" w:color="auto" w:fill="FFFFFF"/>
        </w:rPr>
        <w:t>(5), e0122809.</w:t>
      </w:r>
    </w:p>
    <w:p w:rsidR="006C03D4" w:rsidRPr="009B6B5D" w:rsidRDefault="006C03D4" w:rsidP="006C03D4">
      <w:pPr>
        <w:spacing w:line="480" w:lineRule="auto"/>
        <w:ind w:left="720" w:hanging="720"/>
        <w:rPr>
          <w:rFonts w:ascii="Times New Roman" w:hAnsi="Times New Roman" w:cs="Times New Roman"/>
          <w:sz w:val="24"/>
          <w:szCs w:val="24"/>
        </w:rPr>
      </w:pPr>
      <w:r w:rsidRPr="009B6B5D">
        <w:rPr>
          <w:rFonts w:ascii="Times New Roman" w:hAnsi="Times New Roman" w:cs="Times New Roman"/>
          <w:sz w:val="24"/>
          <w:szCs w:val="24"/>
          <w:shd w:val="clear" w:color="auto" w:fill="FFFFFF"/>
        </w:rPr>
        <w:t>Andon, P., Free, C., &amp; O'Dwyer, B. (2015). Annexing new audit spaces: challenges and adaptations. </w:t>
      </w:r>
      <w:r w:rsidRPr="009B6B5D">
        <w:rPr>
          <w:rFonts w:ascii="Times New Roman" w:hAnsi="Times New Roman" w:cs="Times New Roman"/>
          <w:i/>
          <w:iCs/>
          <w:sz w:val="24"/>
          <w:szCs w:val="24"/>
          <w:shd w:val="clear" w:color="auto" w:fill="FFFFFF"/>
        </w:rPr>
        <w:t>Accounting, Auditing &amp; Accountability Journal</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28</w:t>
      </w:r>
      <w:r w:rsidRPr="009B6B5D">
        <w:rPr>
          <w:rFonts w:ascii="Times New Roman" w:hAnsi="Times New Roman" w:cs="Times New Roman"/>
          <w:sz w:val="24"/>
          <w:szCs w:val="24"/>
          <w:shd w:val="clear" w:color="auto" w:fill="FFFFFF"/>
        </w:rPr>
        <w:t>(8), 1400-1430.</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Boulouta, I., &amp; Pitelis, C. N. (2014). Who needs CSR? The impact of corporate social responsibility on national competitiveness. </w:t>
      </w:r>
      <w:r w:rsidRPr="009B6B5D">
        <w:rPr>
          <w:rFonts w:ascii="Times New Roman" w:hAnsi="Times New Roman" w:cs="Times New Roman"/>
          <w:i/>
          <w:iCs/>
          <w:sz w:val="24"/>
          <w:szCs w:val="24"/>
          <w:shd w:val="clear" w:color="auto" w:fill="FFFFFF"/>
        </w:rPr>
        <w:t>Journal of business ethics</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119</w:t>
      </w:r>
      <w:r w:rsidRPr="009B6B5D">
        <w:rPr>
          <w:rFonts w:ascii="Times New Roman" w:hAnsi="Times New Roman" w:cs="Times New Roman"/>
          <w:sz w:val="24"/>
          <w:szCs w:val="24"/>
          <w:shd w:val="clear" w:color="auto" w:fill="FFFFFF"/>
        </w:rPr>
        <w:t>(3), 349-364.</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Casey, R. J., &amp; Grenier, J. H. (2014). Understanding and contributing to the enigma of corporate social responsibility (CSR) assurance in the United States. </w:t>
      </w:r>
      <w:r w:rsidRPr="009B6B5D">
        <w:rPr>
          <w:rFonts w:ascii="Times New Roman" w:hAnsi="Times New Roman" w:cs="Times New Roman"/>
          <w:i/>
          <w:iCs/>
          <w:sz w:val="24"/>
          <w:szCs w:val="24"/>
          <w:shd w:val="clear" w:color="auto" w:fill="FFFFFF"/>
        </w:rPr>
        <w:t>Auditing: A Journal of Practice &amp; Theory</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34</w:t>
      </w:r>
      <w:r w:rsidRPr="009B6B5D">
        <w:rPr>
          <w:rFonts w:ascii="Times New Roman" w:hAnsi="Times New Roman" w:cs="Times New Roman"/>
          <w:sz w:val="24"/>
          <w:szCs w:val="24"/>
          <w:shd w:val="clear" w:color="auto" w:fill="FFFFFF"/>
        </w:rPr>
        <w:t>(1), 97-130.</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Chandler, D., &amp; Werther, W. B. (2014). </w:t>
      </w:r>
      <w:r w:rsidRPr="009B6B5D">
        <w:rPr>
          <w:rFonts w:ascii="Times New Roman" w:hAnsi="Times New Roman" w:cs="Times New Roman"/>
          <w:i/>
          <w:iCs/>
          <w:sz w:val="24"/>
          <w:szCs w:val="24"/>
          <w:shd w:val="clear" w:color="auto" w:fill="FFFFFF"/>
        </w:rPr>
        <w:t>Strategic corporate social responsibility: Stakeholders, globalization, and sustainable value creation</w:t>
      </w:r>
      <w:r w:rsidRPr="009B6B5D">
        <w:rPr>
          <w:rFonts w:ascii="Times New Roman" w:hAnsi="Times New Roman" w:cs="Times New Roman"/>
          <w:sz w:val="24"/>
          <w:szCs w:val="24"/>
          <w:shd w:val="clear" w:color="auto" w:fill="FFFFFF"/>
        </w:rPr>
        <w:t>. Thousand Oaks, California: Sage.</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Cheng, B., Ioannou, I., &amp; Serafeim, G. (2014). Corporate social responsibility and access to finance. </w:t>
      </w:r>
      <w:r w:rsidRPr="009B6B5D">
        <w:rPr>
          <w:rFonts w:ascii="Times New Roman" w:hAnsi="Times New Roman" w:cs="Times New Roman"/>
          <w:i/>
          <w:iCs/>
          <w:sz w:val="24"/>
          <w:szCs w:val="24"/>
          <w:shd w:val="clear" w:color="auto" w:fill="FFFFFF"/>
        </w:rPr>
        <w:t>Strategic management journal</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35</w:t>
      </w:r>
      <w:r w:rsidRPr="009B6B5D">
        <w:rPr>
          <w:rFonts w:ascii="Times New Roman" w:hAnsi="Times New Roman" w:cs="Times New Roman"/>
          <w:sz w:val="24"/>
          <w:szCs w:val="24"/>
          <w:shd w:val="clear" w:color="auto" w:fill="FFFFFF"/>
        </w:rPr>
        <w:t>(1), 1-23.</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Chin, T. A., Tat, H. H., Sulaiman, Z., Zainon, M., &amp; Liana, S. N. (2015). Green supply chain management practices and sustainability performance. </w:t>
      </w:r>
      <w:r w:rsidRPr="009B6B5D">
        <w:rPr>
          <w:rFonts w:ascii="Times New Roman" w:hAnsi="Times New Roman" w:cs="Times New Roman"/>
          <w:i/>
          <w:iCs/>
          <w:sz w:val="24"/>
          <w:szCs w:val="24"/>
          <w:shd w:val="clear" w:color="auto" w:fill="FFFFFF"/>
        </w:rPr>
        <w:t>Advanced Science Letters</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21</w:t>
      </w:r>
      <w:r w:rsidRPr="009B6B5D">
        <w:rPr>
          <w:rFonts w:ascii="Times New Roman" w:hAnsi="Times New Roman" w:cs="Times New Roman"/>
          <w:sz w:val="24"/>
          <w:szCs w:val="24"/>
          <w:shd w:val="clear" w:color="auto" w:fill="FFFFFF"/>
        </w:rPr>
        <w:t>(5), 1359-1362.</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lastRenderedPageBreak/>
        <w:t>Crowther, D., &amp; Seifi, S. (Eds.). (2018). </w:t>
      </w:r>
      <w:r w:rsidRPr="009B6B5D">
        <w:rPr>
          <w:rFonts w:ascii="Times New Roman" w:hAnsi="Times New Roman" w:cs="Times New Roman"/>
          <w:i/>
          <w:iCs/>
          <w:sz w:val="24"/>
          <w:szCs w:val="24"/>
          <w:shd w:val="clear" w:color="auto" w:fill="FFFFFF"/>
        </w:rPr>
        <w:t>Redefining Corporate Social Responsibility</w:t>
      </w:r>
      <w:r w:rsidRPr="009B6B5D">
        <w:rPr>
          <w:rFonts w:ascii="Times New Roman" w:hAnsi="Times New Roman" w:cs="Times New Roman"/>
          <w:sz w:val="24"/>
          <w:szCs w:val="24"/>
          <w:shd w:val="clear" w:color="auto" w:fill="FFFFFF"/>
        </w:rPr>
        <w:t>. Emerald Group Publishing.</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Den Hond, F., Rehbein, K. A., de Bakker, F. G., &amp; Lankveld, H. K. V. (2014). Playing on two chessboards: Reputation effects between corporate social responsibility (CSR) and corporate political activity (CPA). </w:t>
      </w:r>
      <w:r w:rsidRPr="009B6B5D">
        <w:rPr>
          <w:rFonts w:ascii="Times New Roman" w:hAnsi="Times New Roman" w:cs="Times New Roman"/>
          <w:i/>
          <w:iCs/>
          <w:sz w:val="24"/>
          <w:szCs w:val="24"/>
          <w:shd w:val="clear" w:color="auto" w:fill="FFFFFF"/>
        </w:rPr>
        <w:t>Journal of Management Studies</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51</w:t>
      </w:r>
      <w:r w:rsidRPr="009B6B5D">
        <w:rPr>
          <w:rFonts w:ascii="Times New Roman" w:hAnsi="Times New Roman" w:cs="Times New Roman"/>
          <w:sz w:val="24"/>
          <w:szCs w:val="24"/>
          <w:shd w:val="clear" w:color="auto" w:fill="FFFFFF"/>
        </w:rPr>
        <w:t>(5), 790-813.</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Devika, K., Jafarian, A., &amp; Nourbakhsh, V. (2014). Designing a sustainable closed-loop supply chain network based on triple bottom line approach: A comparison of metaheuristics hybridization techniques. </w:t>
      </w:r>
      <w:r w:rsidRPr="009B6B5D">
        <w:rPr>
          <w:rFonts w:ascii="Times New Roman" w:hAnsi="Times New Roman" w:cs="Times New Roman"/>
          <w:i/>
          <w:iCs/>
          <w:sz w:val="24"/>
          <w:szCs w:val="24"/>
          <w:shd w:val="clear" w:color="auto" w:fill="FFFFFF"/>
        </w:rPr>
        <w:t>European Journal of Operational Research</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235</w:t>
      </w:r>
      <w:r w:rsidRPr="009B6B5D">
        <w:rPr>
          <w:rFonts w:ascii="Times New Roman" w:hAnsi="Times New Roman" w:cs="Times New Roman"/>
          <w:sz w:val="24"/>
          <w:szCs w:val="24"/>
          <w:shd w:val="clear" w:color="auto" w:fill="FFFFFF"/>
        </w:rPr>
        <w:t>(3), 594-615.</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Foerstl, K., Azadegan, A., Leppelt, T., &amp; Hartmann, E. (2015). Drivers of supplier sustainability: Moving beyond compliance to commitment. </w:t>
      </w:r>
      <w:r w:rsidRPr="009B6B5D">
        <w:rPr>
          <w:rFonts w:ascii="Times New Roman" w:hAnsi="Times New Roman" w:cs="Times New Roman"/>
          <w:i/>
          <w:iCs/>
          <w:sz w:val="24"/>
          <w:szCs w:val="24"/>
          <w:shd w:val="clear" w:color="auto" w:fill="FFFFFF"/>
        </w:rPr>
        <w:t>Journal of Supply Chain Management</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51</w:t>
      </w:r>
      <w:r w:rsidRPr="009B6B5D">
        <w:rPr>
          <w:rFonts w:ascii="Times New Roman" w:hAnsi="Times New Roman" w:cs="Times New Roman"/>
          <w:sz w:val="24"/>
          <w:szCs w:val="24"/>
          <w:shd w:val="clear" w:color="auto" w:fill="FFFFFF"/>
        </w:rPr>
        <w:t>(1), 67-92.</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Garcia-Torres, S., Rey-Garcia, M., &amp; Albareda-Vivo, L. (2017). Effective Disclosure in the Fast-Fashion Industry: from Sustainability Reporting to Action. </w:t>
      </w:r>
      <w:r w:rsidRPr="009B6B5D">
        <w:rPr>
          <w:rFonts w:ascii="Times New Roman" w:hAnsi="Times New Roman" w:cs="Times New Roman"/>
          <w:i/>
          <w:iCs/>
          <w:sz w:val="24"/>
          <w:szCs w:val="24"/>
          <w:shd w:val="clear" w:color="auto" w:fill="FFFFFF"/>
        </w:rPr>
        <w:t>Sustainability</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9</w:t>
      </w:r>
      <w:r w:rsidRPr="009B6B5D">
        <w:rPr>
          <w:rFonts w:ascii="Times New Roman" w:hAnsi="Times New Roman" w:cs="Times New Roman"/>
          <w:sz w:val="24"/>
          <w:szCs w:val="24"/>
          <w:shd w:val="clear" w:color="auto" w:fill="FFFFFF"/>
        </w:rPr>
        <w:t>(12), 2256.</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Glavas, A., &amp; Mish, J. (2015). Resources and capabilities of triple bottom line firms: going over old or breaking new ground?. </w:t>
      </w:r>
      <w:r w:rsidRPr="009B6B5D">
        <w:rPr>
          <w:rFonts w:ascii="Times New Roman" w:hAnsi="Times New Roman" w:cs="Times New Roman"/>
          <w:i/>
          <w:iCs/>
          <w:sz w:val="24"/>
          <w:szCs w:val="24"/>
          <w:shd w:val="clear" w:color="auto" w:fill="FFFFFF"/>
        </w:rPr>
        <w:t>Journal of Business Ethics</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127</w:t>
      </w:r>
      <w:r w:rsidRPr="009B6B5D">
        <w:rPr>
          <w:rFonts w:ascii="Times New Roman" w:hAnsi="Times New Roman" w:cs="Times New Roman"/>
          <w:sz w:val="24"/>
          <w:szCs w:val="24"/>
          <w:shd w:val="clear" w:color="auto" w:fill="FFFFFF"/>
        </w:rPr>
        <w:t>(3), 623-642.</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Godart, F., &amp; Seong, S. (2014). Is sustainable luxury fashion possible. </w:t>
      </w:r>
      <w:r w:rsidRPr="009B6B5D">
        <w:rPr>
          <w:rFonts w:ascii="Times New Roman" w:hAnsi="Times New Roman" w:cs="Times New Roman"/>
          <w:i/>
          <w:iCs/>
          <w:sz w:val="24"/>
          <w:szCs w:val="24"/>
          <w:shd w:val="clear" w:color="auto" w:fill="FFFFFF"/>
        </w:rPr>
        <w:t>Sustainable luxury: managing social and environmental performance in iconic brands. Greenleaf Publishing, Sheffield, UK</w:t>
      </w:r>
      <w:r w:rsidRPr="009B6B5D">
        <w:rPr>
          <w:rFonts w:ascii="Times New Roman" w:hAnsi="Times New Roman" w:cs="Times New Roman"/>
          <w:sz w:val="24"/>
          <w:szCs w:val="24"/>
          <w:shd w:val="clear" w:color="auto" w:fill="FFFFFF"/>
        </w:rPr>
        <w:t>.</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Gonzalez-Padron, T. L. (2016). Ethics in the supply chain: Follow-up processes to audit results. </w:t>
      </w:r>
      <w:r w:rsidRPr="009B6B5D">
        <w:rPr>
          <w:rFonts w:ascii="Times New Roman" w:hAnsi="Times New Roman" w:cs="Times New Roman"/>
          <w:i/>
          <w:iCs/>
          <w:sz w:val="24"/>
          <w:szCs w:val="24"/>
          <w:shd w:val="clear" w:color="auto" w:fill="FFFFFF"/>
        </w:rPr>
        <w:t>Journal of Marketing Channels</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23</w:t>
      </w:r>
      <w:r w:rsidRPr="009B6B5D">
        <w:rPr>
          <w:rFonts w:ascii="Times New Roman" w:hAnsi="Times New Roman" w:cs="Times New Roman"/>
          <w:sz w:val="24"/>
          <w:szCs w:val="24"/>
          <w:shd w:val="clear" w:color="auto" w:fill="FFFFFF"/>
        </w:rPr>
        <w:t>(1-2), 22-33.</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lastRenderedPageBreak/>
        <w:t>Grayson, D., &amp; Hodges, A. (2017). </w:t>
      </w:r>
      <w:r w:rsidRPr="009B6B5D">
        <w:rPr>
          <w:rFonts w:ascii="Times New Roman" w:hAnsi="Times New Roman" w:cs="Times New Roman"/>
          <w:i/>
          <w:iCs/>
          <w:sz w:val="24"/>
          <w:szCs w:val="24"/>
          <w:shd w:val="clear" w:color="auto" w:fill="FFFFFF"/>
        </w:rPr>
        <w:t>Corporate social opportunity!: Seven steps to make corporate social responsibility work for your business</w:t>
      </w:r>
      <w:r w:rsidRPr="009B6B5D">
        <w:rPr>
          <w:rFonts w:ascii="Times New Roman" w:hAnsi="Times New Roman" w:cs="Times New Roman"/>
          <w:sz w:val="24"/>
          <w:szCs w:val="24"/>
          <w:shd w:val="clear" w:color="auto" w:fill="FFFFFF"/>
        </w:rPr>
        <w:t>. Routledge.</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Grosvold, J., U. Hoejmose, S., &amp; K. Roehrich, J. (2014). Squaring the circle: Management, measurement and performance of sustainability in supply chains. </w:t>
      </w:r>
      <w:r w:rsidRPr="009B6B5D">
        <w:rPr>
          <w:rFonts w:ascii="Times New Roman" w:hAnsi="Times New Roman" w:cs="Times New Roman"/>
          <w:i/>
          <w:iCs/>
          <w:sz w:val="24"/>
          <w:szCs w:val="24"/>
          <w:shd w:val="clear" w:color="auto" w:fill="FFFFFF"/>
        </w:rPr>
        <w:t>Supply Chain Management: An International Journal</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19</w:t>
      </w:r>
      <w:r w:rsidRPr="009B6B5D">
        <w:rPr>
          <w:rFonts w:ascii="Times New Roman" w:hAnsi="Times New Roman" w:cs="Times New Roman"/>
          <w:sz w:val="24"/>
          <w:szCs w:val="24"/>
          <w:shd w:val="clear" w:color="auto" w:fill="FFFFFF"/>
        </w:rPr>
        <w:t>(3), 292-305.</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Hajmohammad, S., &amp; Vachon, S. (2016). Mitigation, avoidance, or acceptance? Managing supplier sustainability risk. </w:t>
      </w:r>
      <w:r w:rsidRPr="009B6B5D">
        <w:rPr>
          <w:rFonts w:ascii="Times New Roman" w:hAnsi="Times New Roman" w:cs="Times New Roman"/>
          <w:i/>
          <w:iCs/>
          <w:sz w:val="24"/>
          <w:szCs w:val="24"/>
          <w:shd w:val="clear" w:color="auto" w:fill="FFFFFF"/>
        </w:rPr>
        <w:t>Journal of Supply Chain Management</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52</w:t>
      </w:r>
      <w:r w:rsidRPr="009B6B5D">
        <w:rPr>
          <w:rFonts w:ascii="Times New Roman" w:hAnsi="Times New Roman" w:cs="Times New Roman"/>
          <w:sz w:val="24"/>
          <w:szCs w:val="24"/>
          <w:shd w:val="clear" w:color="auto" w:fill="FFFFFF"/>
        </w:rPr>
        <w:t>(2), 48-65.</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Helin, S., &amp; Babri, M. (2015). Travelling with a code of ethics: a contextual study of a Swedish MNC auditing a Chinese supplier. </w:t>
      </w:r>
      <w:r w:rsidRPr="009B6B5D">
        <w:rPr>
          <w:rFonts w:ascii="Times New Roman" w:hAnsi="Times New Roman" w:cs="Times New Roman"/>
          <w:i/>
          <w:iCs/>
          <w:sz w:val="24"/>
          <w:szCs w:val="24"/>
          <w:shd w:val="clear" w:color="auto" w:fill="FFFFFF"/>
        </w:rPr>
        <w:t>Journal of Cleaner Production</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107</w:t>
      </w:r>
      <w:r w:rsidRPr="009B6B5D">
        <w:rPr>
          <w:rFonts w:ascii="Times New Roman" w:hAnsi="Times New Roman" w:cs="Times New Roman"/>
          <w:sz w:val="24"/>
          <w:szCs w:val="24"/>
          <w:shd w:val="clear" w:color="auto" w:fill="FFFFFF"/>
        </w:rPr>
        <w:t>, 41-53.</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Henninger, C. E., Alevizou, P. J., Oates, C. J., &amp; Cheng, R. (2015). Sustainable supply chain management in the slow-fashion industry. In </w:t>
      </w:r>
      <w:r w:rsidRPr="009B6B5D">
        <w:rPr>
          <w:rFonts w:ascii="Times New Roman" w:hAnsi="Times New Roman" w:cs="Times New Roman"/>
          <w:i/>
          <w:iCs/>
          <w:sz w:val="24"/>
          <w:szCs w:val="24"/>
          <w:shd w:val="clear" w:color="auto" w:fill="FFFFFF"/>
        </w:rPr>
        <w:t>Sustainable Fashion Supply Chain Management</w:t>
      </w:r>
      <w:r w:rsidRPr="009B6B5D">
        <w:rPr>
          <w:rFonts w:ascii="Times New Roman" w:hAnsi="Times New Roman" w:cs="Times New Roman"/>
          <w:sz w:val="24"/>
          <w:szCs w:val="24"/>
          <w:shd w:val="clear" w:color="auto" w:fill="FFFFFF"/>
        </w:rPr>
        <w:t> (pp. 129-153). Springer, Cham.</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Jia, P., Govindan, K., Choi, T. M., &amp; Rajendran, S. (2015). Supplier selection problems in fashion business operations with sustainability considerations. </w:t>
      </w:r>
      <w:r w:rsidRPr="009B6B5D">
        <w:rPr>
          <w:rFonts w:ascii="Times New Roman" w:hAnsi="Times New Roman" w:cs="Times New Roman"/>
          <w:i/>
          <w:iCs/>
          <w:sz w:val="24"/>
          <w:szCs w:val="24"/>
          <w:shd w:val="clear" w:color="auto" w:fill="FFFFFF"/>
        </w:rPr>
        <w:t>Sustainability</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7</w:t>
      </w:r>
      <w:r w:rsidRPr="009B6B5D">
        <w:rPr>
          <w:rFonts w:ascii="Times New Roman" w:hAnsi="Times New Roman" w:cs="Times New Roman"/>
          <w:sz w:val="24"/>
          <w:szCs w:val="24"/>
          <w:shd w:val="clear" w:color="auto" w:fill="FFFFFF"/>
        </w:rPr>
        <w:t>(2), 1603-1619.</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Jiraporn, P., Jiraporn, N., Boeprasert, A., &amp; Chang, K. (2014). Does corporate social responsibility (CSR) improve credit ratings? Evidence from geographic identification. </w:t>
      </w:r>
      <w:r w:rsidRPr="009B6B5D">
        <w:rPr>
          <w:rFonts w:ascii="Times New Roman" w:hAnsi="Times New Roman" w:cs="Times New Roman"/>
          <w:i/>
          <w:iCs/>
          <w:sz w:val="24"/>
          <w:szCs w:val="24"/>
          <w:shd w:val="clear" w:color="auto" w:fill="FFFFFF"/>
        </w:rPr>
        <w:t>Financial Management</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43</w:t>
      </w:r>
      <w:r w:rsidRPr="009B6B5D">
        <w:rPr>
          <w:rFonts w:ascii="Times New Roman" w:hAnsi="Times New Roman" w:cs="Times New Roman"/>
          <w:sz w:val="24"/>
          <w:szCs w:val="24"/>
          <w:shd w:val="clear" w:color="auto" w:fill="FFFFFF"/>
        </w:rPr>
        <w:t>(3), 505-531.</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Kashmanian, R. M., &amp; Moore, J. R. (2014). Building greater sustainability in supply chains. </w:t>
      </w:r>
      <w:r w:rsidRPr="009B6B5D">
        <w:rPr>
          <w:rFonts w:ascii="Times New Roman" w:hAnsi="Times New Roman" w:cs="Times New Roman"/>
          <w:i/>
          <w:iCs/>
          <w:sz w:val="24"/>
          <w:szCs w:val="24"/>
          <w:shd w:val="clear" w:color="auto" w:fill="FFFFFF"/>
        </w:rPr>
        <w:t>Environ Qual Manage</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23</w:t>
      </w:r>
      <w:r w:rsidRPr="009B6B5D">
        <w:rPr>
          <w:rFonts w:ascii="Times New Roman" w:hAnsi="Times New Roman" w:cs="Times New Roman"/>
          <w:sz w:val="24"/>
          <w:szCs w:val="24"/>
          <w:shd w:val="clear" w:color="auto" w:fill="FFFFFF"/>
        </w:rPr>
        <w:t>(4), 13-37.</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lastRenderedPageBreak/>
        <w:t>LeBaron, G., Lister, J., &amp; Dauvergne, P. (2017). Governing global supply chain sustainability through the ethical audit regime. </w:t>
      </w:r>
      <w:r w:rsidRPr="009B6B5D">
        <w:rPr>
          <w:rFonts w:ascii="Times New Roman" w:hAnsi="Times New Roman" w:cs="Times New Roman"/>
          <w:i/>
          <w:iCs/>
          <w:sz w:val="24"/>
          <w:szCs w:val="24"/>
          <w:shd w:val="clear" w:color="auto" w:fill="FFFFFF"/>
        </w:rPr>
        <w:t>Globalizations</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14</w:t>
      </w:r>
      <w:r w:rsidRPr="009B6B5D">
        <w:rPr>
          <w:rFonts w:ascii="Times New Roman" w:hAnsi="Times New Roman" w:cs="Times New Roman"/>
          <w:sz w:val="24"/>
          <w:szCs w:val="24"/>
          <w:shd w:val="clear" w:color="auto" w:fill="FFFFFF"/>
        </w:rPr>
        <w:t>(6), 958-975.</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Li, Y., Zhao, X., Shi, D., &amp; Li, X. (2014). Governance of sustainable supply chains in the fast fashion industry. </w:t>
      </w:r>
      <w:r w:rsidRPr="009B6B5D">
        <w:rPr>
          <w:rFonts w:ascii="Times New Roman" w:hAnsi="Times New Roman" w:cs="Times New Roman"/>
          <w:i/>
          <w:iCs/>
          <w:sz w:val="24"/>
          <w:szCs w:val="24"/>
          <w:shd w:val="clear" w:color="auto" w:fill="FFFFFF"/>
        </w:rPr>
        <w:t>European Management Journal</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32</w:t>
      </w:r>
      <w:r w:rsidRPr="009B6B5D">
        <w:rPr>
          <w:rFonts w:ascii="Times New Roman" w:hAnsi="Times New Roman" w:cs="Times New Roman"/>
          <w:sz w:val="24"/>
          <w:szCs w:val="24"/>
          <w:shd w:val="clear" w:color="auto" w:fill="FFFFFF"/>
        </w:rPr>
        <w:t>(5), 823-836.</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Mani, V., Agrawal, R., &amp; Sharma, V. (2015). Supply chain social sustainability: A comparative case analysis in Indian manufacturing industries. </w:t>
      </w:r>
      <w:r w:rsidRPr="009B6B5D">
        <w:rPr>
          <w:rFonts w:ascii="Times New Roman" w:hAnsi="Times New Roman" w:cs="Times New Roman"/>
          <w:i/>
          <w:iCs/>
          <w:sz w:val="24"/>
          <w:szCs w:val="24"/>
          <w:shd w:val="clear" w:color="auto" w:fill="FFFFFF"/>
        </w:rPr>
        <w:t>Procedia-Social and Behavioral Sciences</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189</w:t>
      </w:r>
      <w:r w:rsidRPr="009B6B5D">
        <w:rPr>
          <w:rFonts w:ascii="Times New Roman" w:hAnsi="Times New Roman" w:cs="Times New Roman"/>
          <w:sz w:val="24"/>
          <w:szCs w:val="24"/>
          <w:shd w:val="clear" w:color="auto" w:fill="FFFFFF"/>
        </w:rPr>
        <w:t>, 234-251.</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Na, D., Lee, J., &amp; Na, Y. (2014). Relationship of TBL component in corporate sustainable management of fashion company with company evaluation and brand image. </w:t>
      </w:r>
      <w:r w:rsidRPr="009B6B5D">
        <w:rPr>
          <w:rFonts w:ascii="Times New Roman" w:hAnsi="Times New Roman" w:cs="Times New Roman"/>
          <w:i/>
          <w:iCs/>
          <w:sz w:val="24"/>
          <w:szCs w:val="24"/>
          <w:shd w:val="clear" w:color="auto" w:fill="FFFFFF"/>
        </w:rPr>
        <w:t>Fashion &amp; Textile Research Journal</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16</w:t>
      </w:r>
      <w:r w:rsidRPr="009B6B5D">
        <w:rPr>
          <w:rFonts w:ascii="Times New Roman" w:hAnsi="Times New Roman" w:cs="Times New Roman"/>
          <w:sz w:val="24"/>
          <w:szCs w:val="24"/>
          <w:shd w:val="clear" w:color="auto" w:fill="FFFFFF"/>
        </w:rPr>
        <w:t>(2), 293-300.</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No, C. V. R., &amp; Fasanvej, S. (2015). Sustainability report 2015.</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Onat, N. C., Kucukvar, M., &amp; Tatari, O. (2014). Integrating triple bottom line input–output analysis into life cycle sustainability assessment framework: the case for US buildings. </w:t>
      </w:r>
      <w:r w:rsidRPr="009B6B5D">
        <w:rPr>
          <w:rFonts w:ascii="Times New Roman" w:hAnsi="Times New Roman" w:cs="Times New Roman"/>
          <w:i/>
          <w:iCs/>
          <w:sz w:val="24"/>
          <w:szCs w:val="24"/>
          <w:shd w:val="clear" w:color="auto" w:fill="FFFFFF"/>
        </w:rPr>
        <w:t>The International Journal of Life Cycle Assessment</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19</w:t>
      </w:r>
      <w:r w:rsidRPr="009B6B5D">
        <w:rPr>
          <w:rFonts w:ascii="Times New Roman" w:hAnsi="Times New Roman" w:cs="Times New Roman"/>
          <w:sz w:val="24"/>
          <w:szCs w:val="24"/>
          <w:shd w:val="clear" w:color="auto" w:fill="FFFFFF"/>
        </w:rPr>
        <w:t>(8), 1488-1505.</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Pal, R. (2017). Sustainable design and business models in textile and fashion industry. In </w:t>
      </w:r>
      <w:r w:rsidRPr="009B6B5D">
        <w:rPr>
          <w:rFonts w:ascii="Times New Roman" w:hAnsi="Times New Roman" w:cs="Times New Roman"/>
          <w:i/>
          <w:iCs/>
          <w:sz w:val="24"/>
          <w:szCs w:val="24"/>
          <w:shd w:val="clear" w:color="auto" w:fill="FFFFFF"/>
        </w:rPr>
        <w:t>Sustainability in the Textile Industry</w:t>
      </w:r>
      <w:r w:rsidRPr="009B6B5D">
        <w:rPr>
          <w:rFonts w:ascii="Times New Roman" w:hAnsi="Times New Roman" w:cs="Times New Roman"/>
          <w:sz w:val="24"/>
          <w:szCs w:val="24"/>
          <w:shd w:val="clear" w:color="auto" w:fill="FFFFFF"/>
        </w:rPr>
        <w:t> (pp. 109-138). Springer, Singapore.</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Park, H., &amp; Kim, Y. K. (2016). An empirical test of the triple bottom line of customer-centric sustainability: The case of fast fashion. </w:t>
      </w:r>
      <w:r w:rsidRPr="009B6B5D">
        <w:rPr>
          <w:rFonts w:ascii="Times New Roman" w:hAnsi="Times New Roman" w:cs="Times New Roman"/>
          <w:i/>
          <w:iCs/>
          <w:sz w:val="24"/>
          <w:szCs w:val="24"/>
          <w:shd w:val="clear" w:color="auto" w:fill="FFFFFF"/>
        </w:rPr>
        <w:t>Fashion and Textiles</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3</w:t>
      </w:r>
      <w:r w:rsidRPr="009B6B5D">
        <w:rPr>
          <w:rFonts w:ascii="Times New Roman" w:hAnsi="Times New Roman" w:cs="Times New Roman"/>
          <w:sz w:val="24"/>
          <w:szCs w:val="24"/>
          <w:shd w:val="clear" w:color="auto" w:fill="FFFFFF"/>
        </w:rPr>
        <w:t>(1), 25.</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Petrenko, O. V., Aime, F., Ridge, J., &amp; Hill, A. (2016). Corporate social responsibility or CEO narcissism? CSR motivations and organizational performance. </w:t>
      </w:r>
      <w:r w:rsidRPr="009B6B5D">
        <w:rPr>
          <w:rFonts w:ascii="Times New Roman" w:hAnsi="Times New Roman" w:cs="Times New Roman"/>
          <w:i/>
          <w:iCs/>
          <w:sz w:val="24"/>
          <w:szCs w:val="24"/>
          <w:shd w:val="clear" w:color="auto" w:fill="FFFFFF"/>
        </w:rPr>
        <w:t>Strategic Management Journal</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37</w:t>
      </w:r>
      <w:r w:rsidRPr="009B6B5D">
        <w:rPr>
          <w:rFonts w:ascii="Times New Roman" w:hAnsi="Times New Roman" w:cs="Times New Roman"/>
          <w:sz w:val="24"/>
          <w:szCs w:val="24"/>
          <w:shd w:val="clear" w:color="auto" w:fill="FFFFFF"/>
        </w:rPr>
        <w:t>(2), 262-279.</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lastRenderedPageBreak/>
        <w:t>Rambaud, A., &amp; Richard, J. (2015). The “Triple Depreciation Line” instead of the “Triple Bottom Line”: towards a genuine integrated reporting. </w:t>
      </w:r>
      <w:r w:rsidRPr="009B6B5D">
        <w:rPr>
          <w:rFonts w:ascii="Times New Roman" w:hAnsi="Times New Roman" w:cs="Times New Roman"/>
          <w:i/>
          <w:iCs/>
          <w:sz w:val="24"/>
          <w:szCs w:val="24"/>
          <w:shd w:val="clear" w:color="auto" w:fill="FFFFFF"/>
        </w:rPr>
        <w:t>Critical Perspectives on Accounting</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33</w:t>
      </w:r>
      <w:r w:rsidRPr="009B6B5D">
        <w:rPr>
          <w:rFonts w:ascii="Times New Roman" w:hAnsi="Times New Roman" w:cs="Times New Roman"/>
          <w:sz w:val="24"/>
          <w:szCs w:val="24"/>
          <w:shd w:val="clear" w:color="auto" w:fill="FFFFFF"/>
        </w:rPr>
        <w:t>, 92-116.</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Sarkis, J., &amp; Dhavale, D. G. (2015). Supplier selection for sustainable operations: A triple-bottom-line approach using a Bayesian framework. </w:t>
      </w:r>
      <w:r w:rsidRPr="009B6B5D">
        <w:rPr>
          <w:rFonts w:ascii="Times New Roman" w:hAnsi="Times New Roman" w:cs="Times New Roman"/>
          <w:i/>
          <w:iCs/>
          <w:sz w:val="24"/>
          <w:szCs w:val="24"/>
          <w:shd w:val="clear" w:color="auto" w:fill="FFFFFF"/>
        </w:rPr>
        <w:t>International Journal of Production Economics</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166</w:t>
      </w:r>
      <w:r w:rsidRPr="009B6B5D">
        <w:rPr>
          <w:rFonts w:ascii="Times New Roman" w:hAnsi="Times New Roman" w:cs="Times New Roman"/>
          <w:sz w:val="24"/>
          <w:szCs w:val="24"/>
          <w:shd w:val="clear" w:color="auto" w:fill="FFFFFF"/>
        </w:rPr>
        <w:t>, 177-191.</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Unit, B. (2015). Corporate social responsibility.</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Wilhelm, M. M., Blome, C., Bhakoo, V., &amp; Paulraj, A. (2016). Sustainability in multi-tier supply chains: Understanding the double agency role of the first-tier supplier. </w:t>
      </w:r>
      <w:r w:rsidRPr="009B6B5D">
        <w:rPr>
          <w:rFonts w:ascii="Times New Roman" w:hAnsi="Times New Roman" w:cs="Times New Roman"/>
          <w:i/>
          <w:iCs/>
          <w:sz w:val="24"/>
          <w:szCs w:val="24"/>
          <w:shd w:val="clear" w:color="auto" w:fill="FFFFFF"/>
        </w:rPr>
        <w:t>Journal of Operations Management</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41</w:t>
      </w:r>
      <w:r w:rsidRPr="009B6B5D">
        <w:rPr>
          <w:rFonts w:ascii="Times New Roman" w:hAnsi="Times New Roman" w:cs="Times New Roman"/>
          <w:sz w:val="24"/>
          <w:szCs w:val="24"/>
          <w:shd w:val="clear" w:color="auto" w:fill="FFFFFF"/>
        </w:rPr>
        <w:t>, 42-60.</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Wilson, J. P. (2015). The triple bottom line: Undertaking an economic, social, and environmental retail sustainability strategy. </w:t>
      </w:r>
      <w:r w:rsidRPr="009B6B5D">
        <w:rPr>
          <w:rFonts w:ascii="Times New Roman" w:hAnsi="Times New Roman" w:cs="Times New Roman"/>
          <w:i/>
          <w:iCs/>
          <w:sz w:val="24"/>
          <w:szCs w:val="24"/>
          <w:shd w:val="clear" w:color="auto" w:fill="FFFFFF"/>
        </w:rPr>
        <w:t>International Journal of Retail &amp; Distribution Management</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43</w:t>
      </w:r>
      <w:r w:rsidRPr="009B6B5D">
        <w:rPr>
          <w:rFonts w:ascii="Times New Roman" w:hAnsi="Times New Roman" w:cs="Times New Roman"/>
          <w:sz w:val="24"/>
          <w:szCs w:val="24"/>
          <w:shd w:val="clear" w:color="auto" w:fill="FFFFFF"/>
        </w:rPr>
        <w:t>(4/5), 432-447.</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Wise, N. (2016). Outlining triple bottom line contexts in urban tourism regeneration. </w:t>
      </w:r>
      <w:r w:rsidRPr="009B6B5D">
        <w:rPr>
          <w:rFonts w:ascii="Times New Roman" w:hAnsi="Times New Roman" w:cs="Times New Roman"/>
          <w:i/>
          <w:iCs/>
          <w:sz w:val="24"/>
          <w:szCs w:val="24"/>
          <w:shd w:val="clear" w:color="auto" w:fill="FFFFFF"/>
        </w:rPr>
        <w:t>Cities</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53</w:t>
      </w:r>
      <w:r w:rsidRPr="009B6B5D">
        <w:rPr>
          <w:rFonts w:ascii="Times New Roman" w:hAnsi="Times New Roman" w:cs="Times New Roman"/>
          <w:sz w:val="24"/>
          <w:szCs w:val="24"/>
          <w:shd w:val="clear" w:color="auto" w:fill="FFFFFF"/>
        </w:rPr>
        <w:t>, 30-34.</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p>
    <w:p w:rsidR="006C03D4" w:rsidRPr="009B6B5D" w:rsidRDefault="006C03D4" w:rsidP="006C03D4">
      <w:pPr>
        <w:spacing w:line="480" w:lineRule="auto"/>
        <w:rPr>
          <w:rFonts w:ascii="Times New Roman" w:hAnsi="Times New Roman" w:cs="Times New Roman"/>
          <w:sz w:val="24"/>
          <w:szCs w:val="24"/>
        </w:rPr>
      </w:pPr>
    </w:p>
    <w:p w:rsidR="006C03D4" w:rsidRPr="009B6B5D" w:rsidRDefault="006C03D4" w:rsidP="006C03D4">
      <w:pPr>
        <w:spacing w:line="480" w:lineRule="auto"/>
        <w:ind w:firstLine="720"/>
        <w:rPr>
          <w:rFonts w:ascii="Times New Roman" w:hAnsi="Times New Roman" w:cs="Times New Roman"/>
          <w:sz w:val="24"/>
          <w:szCs w:val="24"/>
        </w:rPr>
      </w:pPr>
    </w:p>
    <w:p w:rsidR="006C03D4" w:rsidRPr="009B6B5D" w:rsidRDefault="006C03D4" w:rsidP="006C03D4">
      <w:pPr>
        <w:spacing w:line="480" w:lineRule="auto"/>
        <w:rPr>
          <w:rFonts w:ascii="Times New Roman" w:hAnsi="Times New Roman" w:cs="Times New Roman"/>
          <w:sz w:val="24"/>
          <w:szCs w:val="24"/>
        </w:rPr>
      </w:pPr>
    </w:p>
    <w:p w:rsidR="006C03D4" w:rsidRPr="009B6B5D" w:rsidRDefault="006C03D4" w:rsidP="006C03D4">
      <w:pPr>
        <w:spacing w:line="480" w:lineRule="auto"/>
        <w:rPr>
          <w:rFonts w:ascii="Times New Roman" w:hAnsi="Times New Roman" w:cs="Times New Roman"/>
          <w:sz w:val="24"/>
          <w:szCs w:val="24"/>
        </w:rPr>
      </w:pPr>
    </w:p>
    <w:p w:rsidR="005F0A09" w:rsidRPr="009B6B5D" w:rsidRDefault="005F0A09">
      <w:pPr>
        <w:rPr>
          <w:rFonts w:ascii="Times New Roman" w:hAnsi="Times New Roman" w:cs="Times New Roman"/>
          <w:sz w:val="24"/>
          <w:szCs w:val="24"/>
        </w:rPr>
      </w:pPr>
    </w:p>
    <w:sectPr w:rsidR="005F0A09" w:rsidRPr="009B6B5D" w:rsidSect="007F05A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60B1" w:rsidRDefault="008A60B1">
      <w:pPr>
        <w:spacing w:after="0" w:line="240" w:lineRule="auto"/>
      </w:pPr>
      <w:r>
        <w:separator/>
      </w:r>
    </w:p>
  </w:endnote>
  <w:endnote w:type="continuationSeparator" w:id="0">
    <w:p w:rsidR="008A60B1" w:rsidRDefault="008A60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60B1" w:rsidRDefault="008A60B1">
      <w:pPr>
        <w:spacing w:after="0" w:line="240" w:lineRule="auto"/>
      </w:pPr>
      <w:r>
        <w:separator/>
      </w:r>
    </w:p>
  </w:footnote>
  <w:footnote w:type="continuationSeparator" w:id="0">
    <w:p w:rsidR="008A60B1" w:rsidRDefault="008A60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5A5" w:rsidRDefault="006C03D4">
    <w:pPr>
      <w:pStyle w:val="Header"/>
      <w:jc w:val="right"/>
    </w:pPr>
    <w:r w:rsidRPr="00AA7117">
      <w:rPr>
        <w:rFonts w:ascii="Times New Roman" w:hAnsi="Times New Roman" w:cs="Times New Roman"/>
        <w:sz w:val="24"/>
        <w:szCs w:val="24"/>
      </w:rPr>
      <w:t>GIORDANO</w:t>
    </w:r>
    <w:r>
      <w:tab/>
    </w:r>
    <w:r>
      <w:tab/>
    </w:r>
    <w:r w:rsidRPr="007F05A5">
      <w:rPr>
        <w:rFonts w:ascii="Times New Roman" w:hAnsi="Times New Roman" w:cs="Times New Roman"/>
        <w:sz w:val="24"/>
        <w:szCs w:val="24"/>
      </w:rPr>
      <w:fldChar w:fldCharType="begin"/>
    </w:r>
    <w:r w:rsidRPr="007F05A5">
      <w:rPr>
        <w:rFonts w:ascii="Times New Roman" w:hAnsi="Times New Roman" w:cs="Times New Roman"/>
        <w:sz w:val="24"/>
        <w:szCs w:val="24"/>
      </w:rPr>
      <w:instrText xml:space="preserve"> PAGE   \* MERGEFORMAT </w:instrText>
    </w:r>
    <w:r w:rsidRPr="007F05A5">
      <w:rPr>
        <w:rFonts w:ascii="Times New Roman" w:hAnsi="Times New Roman" w:cs="Times New Roman"/>
        <w:sz w:val="24"/>
        <w:szCs w:val="24"/>
      </w:rPr>
      <w:fldChar w:fldCharType="separate"/>
    </w:r>
    <w:r w:rsidR="00551ED5">
      <w:rPr>
        <w:rFonts w:ascii="Times New Roman" w:hAnsi="Times New Roman" w:cs="Times New Roman"/>
        <w:noProof/>
        <w:sz w:val="24"/>
        <w:szCs w:val="24"/>
      </w:rPr>
      <w:t>14</w:t>
    </w:r>
    <w:r w:rsidRPr="007F05A5">
      <w:rPr>
        <w:rFonts w:ascii="Times New Roman" w:hAnsi="Times New Roman" w:cs="Times New Roman"/>
        <w:noProof/>
        <w:sz w:val="24"/>
        <w:szCs w:val="24"/>
      </w:rPr>
      <w:fldChar w:fldCharType="end"/>
    </w:r>
  </w:p>
  <w:p w:rsidR="007F05A5" w:rsidRDefault="008A60B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5A5" w:rsidRDefault="006C03D4">
    <w:pPr>
      <w:pStyle w:val="Header"/>
      <w:jc w:val="right"/>
    </w:pPr>
    <w:r>
      <w:rPr>
        <w:rFonts w:ascii="Times New Roman" w:hAnsi="Times New Roman" w:cs="Times New Roman"/>
        <w:sz w:val="24"/>
        <w:szCs w:val="24"/>
      </w:rPr>
      <w:t xml:space="preserve">Running head: </w:t>
    </w:r>
    <w:r w:rsidRPr="00AA7117">
      <w:rPr>
        <w:rFonts w:ascii="Times New Roman" w:hAnsi="Times New Roman" w:cs="Times New Roman"/>
        <w:sz w:val="24"/>
        <w:szCs w:val="24"/>
      </w:rPr>
      <w:t>GIORDANO</w:t>
    </w:r>
    <w:r>
      <w:tab/>
    </w:r>
    <w:r>
      <w:tab/>
    </w:r>
    <w:r w:rsidRPr="007F05A5">
      <w:rPr>
        <w:rFonts w:ascii="Times New Roman" w:hAnsi="Times New Roman" w:cs="Times New Roman"/>
        <w:sz w:val="24"/>
        <w:szCs w:val="24"/>
      </w:rPr>
      <w:fldChar w:fldCharType="begin"/>
    </w:r>
    <w:r w:rsidRPr="007F05A5">
      <w:rPr>
        <w:rFonts w:ascii="Times New Roman" w:hAnsi="Times New Roman" w:cs="Times New Roman"/>
        <w:sz w:val="24"/>
        <w:szCs w:val="24"/>
      </w:rPr>
      <w:instrText xml:space="preserve"> PAGE   \* MERGEFORMAT </w:instrText>
    </w:r>
    <w:r w:rsidRPr="007F05A5">
      <w:rPr>
        <w:rFonts w:ascii="Times New Roman" w:hAnsi="Times New Roman" w:cs="Times New Roman"/>
        <w:sz w:val="24"/>
        <w:szCs w:val="24"/>
      </w:rPr>
      <w:fldChar w:fldCharType="separate"/>
    </w:r>
    <w:r w:rsidR="00551ED5">
      <w:rPr>
        <w:rFonts w:ascii="Times New Roman" w:hAnsi="Times New Roman" w:cs="Times New Roman"/>
        <w:noProof/>
        <w:sz w:val="24"/>
        <w:szCs w:val="24"/>
      </w:rPr>
      <w:t>1</w:t>
    </w:r>
    <w:r w:rsidRPr="007F05A5">
      <w:rPr>
        <w:rFonts w:ascii="Times New Roman" w:hAnsi="Times New Roman" w:cs="Times New Roman"/>
        <w:noProof/>
        <w:sz w:val="24"/>
        <w:szCs w:val="24"/>
      </w:rPr>
      <w:fldChar w:fldCharType="end"/>
    </w:r>
  </w:p>
  <w:p w:rsidR="007F05A5" w:rsidRDefault="008A60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3D4"/>
    <w:rsid w:val="0034317E"/>
    <w:rsid w:val="00551ED5"/>
    <w:rsid w:val="005F0A09"/>
    <w:rsid w:val="006C03D4"/>
    <w:rsid w:val="00851560"/>
    <w:rsid w:val="008A60B1"/>
    <w:rsid w:val="009952EF"/>
    <w:rsid w:val="009B6B5D"/>
    <w:rsid w:val="00B01D49"/>
    <w:rsid w:val="00C91E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295A2A-B125-419C-B1A5-CD3C9DA55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952E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9952E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03D4"/>
    <w:pPr>
      <w:tabs>
        <w:tab w:val="center" w:pos="4680"/>
        <w:tab w:val="right" w:pos="9360"/>
      </w:tabs>
      <w:spacing w:after="0" w:line="240" w:lineRule="auto"/>
    </w:pPr>
    <w:rPr>
      <w:rFonts w:ascii="Calibri" w:eastAsia="Calibri" w:hAnsi="Calibri" w:cs="Arial"/>
    </w:rPr>
  </w:style>
  <w:style w:type="character" w:customStyle="1" w:styleId="HeaderChar">
    <w:name w:val="Header Char"/>
    <w:basedOn w:val="DefaultParagraphFont"/>
    <w:link w:val="Header"/>
    <w:uiPriority w:val="99"/>
    <w:rsid w:val="006C03D4"/>
    <w:rPr>
      <w:rFonts w:ascii="Calibri" w:eastAsia="Calibri" w:hAnsi="Calibri" w:cs="Arial"/>
    </w:rPr>
  </w:style>
  <w:style w:type="character" w:customStyle="1" w:styleId="Heading1Char">
    <w:name w:val="Heading 1 Char"/>
    <w:basedOn w:val="DefaultParagraphFont"/>
    <w:link w:val="Heading1"/>
    <w:uiPriority w:val="9"/>
    <w:rsid w:val="009952EF"/>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9952EF"/>
    <w:pPr>
      <w:outlineLvl w:val="9"/>
    </w:pPr>
  </w:style>
  <w:style w:type="paragraph" w:styleId="TOC1">
    <w:name w:val="toc 1"/>
    <w:basedOn w:val="Normal"/>
    <w:next w:val="Normal"/>
    <w:autoRedefine/>
    <w:uiPriority w:val="39"/>
    <w:unhideWhenUsed/>
    <w:rsid w:val="009952EF"/>
    <w:pPr>
      <w:spacing w:after="100"/>
    </w:pPr>
  </w:style>
  <w:style w:type="character" w:styleId="Hyperlink">
    <w:name w:val="Hyperlink"/>
    <w:basedOn w:val="DefaultParagraphFont"/>
    <w:uiPriority w:val="99"/>
    <w:unhideWhenUsed/>
    <w:rsid w:val="009952EF"/>
    <w:rPr>
      <w:color w:val="0563C1" w:themeColor="hyperlink"/>
      <w:u w:val="single"/>
    </w:rPr>
  </w:style>
  <w:style w:type="character" w:customStyle="1" w:styleId="Heading2Char">
    <w:name w:val="Heading 2 Char"/>
    <w:basedOn w:val="DefaultParagraphFont"/>
    <w:link w:val="Heading2"/>
    <w:uiPriority w:val="9"/>
    <w:semiHidden/>
    <w:rsid w:val="009952EF"/>
    <w:rPr>
      <w:rFonts w:asciiTheme="majorHAnsi" w:eastAsiaTheme="majorEastAsia" w:hAnsiTheme="majorHAnsi" w:cstheme="majorBidi"/>
      <w:color w:val="2E74B5" w:themeColor="accent1" w:themeShade="BF"/>
      <w:sz w:val="26"/>
      <w:szCs w:val="26"/>
    </w:rPr>
  </w:style>
  <w:style w:type="paragraph" w:styleId="TOC2">
    <w:name w:val="toc 2"/>
    <w:basedOn w:val="Normal"/>
    <w:next w:val="Normal"/>
    <w:autoRedefine/>
    <w:uiPriority w:val="39"/>
    <w:unhideWhenUsed/>
    <w:rsid w:val="00B01D4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6FEB11-806C-4451-BEF1-B91DC78C74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4260</Words>
  <Characters>24284</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amo</cp:lastModifiedBy>
  <cp:revision>2</cp:revision>
  <dcterms:created xsi:type="dcterms:W3CDTF">2019-04-21T16:09:00Z</dcterms:created>
  <dcterms:modified xsi:type="dcterms:W3CDTF">2019-04-21T16:09:00Z</dcterms:modified>
</cp:coreProperties>
</file>